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43857" w14:textId="77777777" w:rsidR="009C24A6" w:rsidRDefault="000C5014">
      <w:r>
        <w:rPr>
          <w:noProof/>
          <w:lang w:eastAsia="nl-NL"/>
        </w:rPr>
        <w:drawing>
          <wp:inline distT="0" distB="0" distL="0" distR="0" wp14:anchorId="52A7E7C0" wp14:editId="0E728233">
            <wp:extent cx="5731510" cy="1144905"/>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HG-voluit-A-v2-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0234" cy="1148645"/>
                    </a:xfrm>
                    <a:prstGeom prst="rect">
                      <a:avLst/>
                    </a:prstGeom>
                  </pic:spPr>
                </pic:pic>
              </a:graphicData>
            </a:graphic>
          </wp:inline>
        </w:drawing>
      </w:r>
    </w:p>
    <w:p w14:paraId="312238F9" w14:textId="77777777" w:rsidR="00A81A1E" w:rsidRDefault="00A81A1E" w:rsidP="000C5014">
      <w:pPr>
        <w:pStyle w:val="Titel"/>
        <w:jc w:val="center"/>
        <w:rPr>
          <w:b/>
        </w:rPr>
      </w:pPr>
    </w:p>
    <w:p w14:paraId="4DC0A848" w14:textId="77777777" w:rsidR="00380F74" w:rsidRDefault="00A81A1E" w:rsidP="000C5014">
      <w:pPr>
        <w:pStyle w:val="Titel"/>
        <w:jc w:val="center"/>
        <w:rPr>
          <w:b/>
        </w:rPr>
      </w:pPr>
      <w:r>
        <w:rPr>
          <w:b/>
        </w:rPr>
        <w:t xml:space="preserve">Plan Diversiteit &amp; Inclusie </w:t>
      </w:r>
    </w:p>
    <w:p w14:paraId="08F07A5B" w14:textId="061D564C" w:rsidR="00A81A1E" w:rsidRDefault="00380F74" w:rsidP="000C5014">
      <w:pPr>
        <w:pStyle w:val="Titel"/>
        <w:jc w:val="center"/>
        <w:rPr>
          <w:b/>
        </w:rPr>
      </w:pPr>
      <w:r>
        <w:rPr>
          <w:b/>
        </w:rPr>
        <w:t xml:space="preserve">Voor Beleidsperiode </w:t>
      </w:r>
      <w:r w:rsidR="00A81A1E">
        <w:rPr>
          <w:b/>
        </w:rPr>
        <w:t>2021-2023</w:t>
      </w:r>
    </w:p>
    <w:p w14:paraId="0C92BCFE" w14:textId="77777777" w:rsidR="00A81A1E" w:rsidRDefault="00A81A1E" w:rsidP="00A81A1E">
      <w:pPr>
        <w:jc w:val="right"/>
      </w:pPr>
    </w:p>
    <w:p w14:paraId="74691E22" w14:textId="77777777" w:rsidR="00A81A1E" w:rsidRDefault="00A81A1E" w:rsidP="00A81A1E">
      <w:pPr>
        <w:jc w:val="right"/>
      </w:pPr>
    </w:p>
    <w:p w14:paraId="7FB5F196" w14:textId="77777777" w:rsidR="00A81A1E" w:rsidRPr="00616B6B" w:rsidRDefault="00A81A1E" w:rsidP="00A81A1E">
      <w:pPr>
        <w:pStyle w:val="Geenafstand"/>
        <w:jc w:val="right"/>
      </w:pPr>
    </w:p>
    <w:p w14:paraId="020215C9" w14:textId="77777777" w:rsidR="00A81A1E" w:rsidRPr="00616B6B" w:rsidRDefault="00A81A1E" w:rsidP="00A81A1E">
      <w:pPr>
        <w:pStyle w:val="Geenafstand"/>
        <w:jc w:val="right"/>
      </w:pPr>
    </w:p>
    <w:p w14:paraId="250A7119" w14:textId="77777777" w:rsidR="00A81A1E" w:rsidRPr="00616B6B" w:rsidRDefault="00A81A1E" w:rsidP="00A81A1E">
      <w:pPr>
        <w:pStyle w:val="Geenafstand"/>
        <w:jc w:val="right"/>
      </w:pPr>
    </w:p>
    <w:p w14:paraId="1CA1A4F4" w14:textId="77777777" w:rsidR="00A81A1E" w:rsidRPr="008C1257" w:rsidRDefault="00A81A1E" w:rsidP="00A81A1E">
      <w:pPr>
        <w:pStyle w:val="Geenafstand"/>
        <w:jc w:val="right"/>
        <w:rPr>
          <w:lang w:val="de-DE"/>
        </w:rPr>
      </w:pPr>
      <w:r w:rsidRPr="008C1257">
        <w:rPr>
          <w:lang w:val="de-DE"/>
        </w:rPr>
        <w:t>Auteur: Antia Wiersma</w:t>
      </w:r>
    </w:p>
    <w:p w14:paraId="793226E3" w14:textId="77777777" w:rsidR="00A81A1E" w:rsidRPr="008C1257" w:rsidRDefault="00A81A1E">
      <w:pPr>
        <w:rPr>
          <w:rFonts w:asciiTheme="majorHAnsi" w:eastAsiaTheme="majorEastAsia" w:hAnsiTheme="majorHAnsi" w:cstheme="majorBidi"/>
          <w:b/>
          <w:spacing w:val="-10"/>
          <w:kern w:val="28"/>
          <w:sz w:val="56"/>
          <w:szCs w:val="56"/>
          <w:lang w:val="de-DE"/>
        </w:rPr>
      </w:pPr>
      <w:r w:rsidRPr="008C1257">
        <w:rPr>
          <w:b/>
          <w:lang w:val="de-DE"/>
        </w:rPr>
        <w:br w:type="page"/>
      </w:r>
    </w:p>
    <w:p w14:paraId="140AC303" w14:textId="77777777" w:rsidR="009C24A6" w:rsidRPr="000C5014" w:rsidRDefault="009C24A6" w:rsidP="000C5014">
      <w:pPr>
        <w:pStyle w:val="Kop1"/>
        <w:rPr>
          <w:b/>
          <w:color w:val="auto"/>
        </w:rPr>
      </w:pPr>
      <w:r w:rsidRPr="000C5014">
        <w:rPr>
          <w:b/>
          <w:color w:val="auto"/>
        </w:rPr>
        <w:lastRenderedPageBreak/>
        <w:t xml:space="preserve">Inleiding </w:t>
      </w:r>
    </w:p>
    <w:p w14:paraId="7BE80534" w14:textId="77777777" w:rsidR="002B5706" w:rsidRDefault="002B5706" w:rsidP="000C5014"/>
    <w:p w14:paraId="0F1CA829" w14:textId="538F2762" w:rsidR="000C5014" w:rsidRDefault="000C5014" w:rsidP="000C5014">
      <w:r>
        <w:t>Onz</w:t>
      </w:r>
      <w:r w:rsidR="002B5706">
        <w:t>e maatschappij is divers</w:t>
      </w:r>
      <w:r w:rsidR="00ED0F4C">
        <w:t>.</w:t>
      </w:r>
      <w:r w:rsidR="002B5706">
        <w:t xml:space="preserve"> </w:t>
      </w:r>
      <w:r w:rsidR="00ED0F4C">
        <w:t xml:space="preserve">Er is diversiteit in </w:t>
      </w:r>
      <w:r w:rsidR="002B5706">
        <w:t>religie, politieke voorkeur, taal, sociale</w:t>
      </w:r>
      <w:r>
        <w:t xml:space="preserve"> </w:t>
      </w:r>
      <w:r w:rsidR="002B5706">
        <w:t xml:space="preserve">achtergrond, culturele achtergrond, gender, opleiding, leeftijd, </w:t>
      </w:r>
      <w:r w:rsidR="00ED0F4C">
        <w:t xml:space="preserve">fysieke en mentale </w:t>
      </w:r>
      <w:r w:rsidR="002B5706">
        <w:t>beperkingen,</w:t>
      </w:r>
      <w:r>
        <w:t xml:space="preserve"> </w:t>
      </w:r>
      <w:r w:rsidR="002B5706">
        <w:t xml:space="preserve">uiterlijk, etc. </w:t>
      </w:r>
      <w:r w:rsidR="00ED0F4C">
        <w:t>Helaas zijn o</w:t>
      </w:r>
      <w:r w:rsidR="002B5706">
        <w:t xml:space="preserve">rganisaties vaak géén afspiegeling van de maatschappij. </w:t>
      </w:r>
      <w:r w:rsidR="00ED0F4C">
        <w:t>I</w:t>
      </w:r>
      <w:r w:rsidR="002B5706">
        <w:t xml:space="preserve">nclusief </w:t>
      </w:r>
      <w:r w:rsidR="00ED0F4C">
        <w:t xml:space="preserve">werkgeverschap </w:t>
      </w:r>
      <w:r w:rsidR="002B5706">
        <w:t xml:space="preserve"> is </w:t>
      </w:r>
      <w:r w:rsidR="00ED0F4C">
        <w:t xml:space="preserve">dan ook </w:t>
      </w:r>
      <w:r w:rsidR="002B5706">
        <w:t>een keuze</w:t>
      </w:r>
      <w:r w:rsidR="00365CD4">
        <w:t xml:space="preserve"> én een proces</w:t>
      </w:r>
      <w:r w:rsidR="002B5706">
        <w:t>. Een keuze waar je op kunt letten binnen alle</w:t>
      </w:r>
      <w:r>
        <w:t xml:space="preserve"> </w:t>
      </w:r>
      <w:r w:rsidR="002B5706">
        <w:t>f</w:t>
      </w:r>
      <w:r>
        <w:t xml:space="preserve">acetten van de bedrijfsvoering. </w:t>
      </w:r>
      <w:r w:rsidR="00380F74">
        <w:t xml:space="preserve">Bovendien is het </w:t>
      </w:r>
      <w:r w:rsidR="004C338D">
        <w:t xml:space="preserve">een </w:t>
      </w:r>
      <w:r w:rsidR="00365CD4">
        <w:t>proces omdat diversiteit en inclusie continue aandacht vragen en verdienen.</w:t>
      </w:r>
      <w:r w:rsidR="00380F74">
        <w:t xml:space="preserve"> Voor het KNHG betekent diversiteit ook </w:t>
      </w:r>
      <w:r w:rsidR="008C1257">
        <w:t xml:space="preserve">erkennen dat er </w:t>
      </w:r>
      <w:r w:rsidR="00380F74">
        <w:t xml:space="preserve">verschillende politieke opvattingen over het vak geschiedenis </w:t>
      </w:r>
      <w:r w:rsidR="008C1257">
        <w:t xml:space="preserve">zijn en die een </w:t>
      </w:r>
      <w:r w:rsidR="00380F74">
        <w:t xml:space="preserve">platform geven. De beoefenaars van het vak vertegenwoordigen immers het gehele politieke spectrum. </w:t>
      </w:r>
      <w:r w:rsidR="00233940">
        <w:t xml:space="preserve">Bovendien wil het KNHG aandacht </w:t>
      </w:r>
      <w:r w:rsidR="008C1257">
        <w:t xml:space="preserve">hebben </w:t>
      </w:r>
      <w:r w:rsidR="00233940">
        <w:t>eerste-generatie studenten, een categorie die in de universitaire/academische wereld veelal on</w:t>
      </w:r>
      <w:r w:rsidR="008C1257">
        <w:t>der</w:t>
      </w:r>
      <w:r w:rsidR="00233940">
        <w:t>belicht blijft.</w:t>
      </w:r>
    </w:p>
    <w:p w14:paraId="596BE191" w14:textId="632D2CB1" w:rsidR="002B5706" w:rsidRDefault="000C5014" w:rsidP="000C5014">
      <w:r>
        <w:t xml:space="preserve">Het KNHG is zich bewust van de hierboven beschreven diversiteit en onderschrijft </w:t>
      </w:r>
      <w:r w:rsidR="004327F3">
        <w:t>het</w:t>
      </w:r>
      <w:r>
        <w:t xml:space="preserve"> nut en noodzaak van een</w:t>
      </w:r>
      <w:r w:rsidR="00A81A1E">
        <w:t xml:space="preserve"> diverse en</w:t>
      </w:r>
      <w:r>
        <w:t xml:space="preserve"> inclusieve organisatie. </w:t>
      </w:r>
      <w:r w:rsidR="00380F74">
        <w:t>De afgelopen jaren was er sprake van onofficieel beleid wat in het Beleidsplan 2021-2023 omgezet wordt in officieel beleid.</w:t>
      </w:r>
      <w:r w:rsidR="00365CD4">
        <w:t xml:space="preserve"> </w:t>
      </w:r>
      <w:r w:rsidR="00ED0F4C">
        <w:t>I</w:t>
      </w:r>
      <w:r w:rsidR="00365CD4">
        <w:t>n hoofd</w:t>
      </w:r>
      <w:r w:rsidR="004327F3">
        <w:t>stuk 2 staat een korte terugblik</w:t>
      </w:r>
      <w:r w:rsidR="00A81A1E">
        <w:t xml:space="preserve"> </w:t>
      </w:r>
      <w:r w:rsidR="00380F74">
        <w:t xml:space="preserve">op </w:t>
      </w:r>
      <w:r w:rsidR="00ED0F4C">
        <w:t xml:space="preserve">de thema’s en </w:t>
      </w:r>
      <w:r w:rsidR="00A81A1E">
        <w:t>hoe het KNHG in de voorgaande jaren is omgegaan met Diversiteit &amp; Inclusie</w:t>
      </w:r>
      <w:r w:rsidR="00365CD4">
        <w:t>. Het betekent wel dat het geen structureel onderdeel was van het beleid en het handelen van de vereniging</w:t>
      </w:r>
      <w:r w:rsidR="004327F3">
        <w:t xml:space="preserve"> in de jaren 2018-2020</w:t>
      </w:r>
      <w:r w:rsidR="00365CD4">
        <w:t>. In hoofdstuk 3 staat beschreven hoe het KNHG deze beleidsperiode</w:t>
      </w:r>
      <w:r w:rsidR="004327F3">
        <w:t>, in de jaren 2021-2023,</w:t>
      </w:r>
      <w:r w:rsidR="00365CD4">
        <w:t xml:space="preserve"> </w:t>
      </w:r>
      <w:r w:rsidR="00A81A1E">
        <w:t xml:space="preserve">structureel </w:t>
      </w:r>
      <w:r w:rsidR="00365CD4">
        <w:t xml:space="preserve">aandacht wil hebben voor Diversiteit </w:t>
      </w:r>
      <w:r w:rsidR="008C1257">
        <w:t xml:space="preserve">&amp; </w:t>
      </w:r>
      <w:r w:rsidR="00365CD4">
        <w:t>Inclusie.</w:t>
      </w:r>
    </w:p>
    <w:p w14:paraId="1AB96C1E" w14:textId="77777777" w:rsidR="000C5014" w:rsidRDefault="000C5014" w:rsidP="000C5014">
      <w:r>
        <w:t xml:space="preserve">Dat doen we </w:t>
      </w:r>
      <w:r w:rsidR="004327F3">
        <w:t xml:space="preserve">allereerst </w:t>
      </w:r>
      <w:r>
        <w:t xml:space="preserve">door </w:t>
      </w:r>
      <w:r w:rsidR="00A81A1E">
        <w:t xml:space="preserve">uitgangspunten in </w:t>
      </w:r>
      <w:r>
        <w:t xml:space="preserve">de </w:t>
      </w:r>
      <w:hyperlink r:id="rId9" w:history="1">
        <w:r w:rsidRPr="008508E2">
          <w:rPr>
            <w:rStyle w:val="Hyperlink"/>
          </w:rPr>
          <w:t>Code Culturele Diversiteit</w:t>
        </w:r>
      </w:hyperlink>
      <w:r>
        <w:rPr>
          <w:rStyle w:val="Hyperlink"/>
        </w:rPr>
        <w:t xml:space="preserve"> </w:t>
      </w:r>
      <w:r w:rsidRPr="000C5014">
        <w:rPr>
          <w:rStyle w:val="Hyperlink"/>
          <w:color w:val="auto"/>
          <w:u w:val="none"/>
        </w:rPr>
        <w:t>te onderschrijven.</w:t>
      </w:r>
      <w:r>
        <w:rPr>
          <w:rStyle w:val="Hyperlink"/>
          <w:color w:val="auto"/>
          <w:u w:val="none"/>
        </w:rPr>
        <w:t xml:space="preserve"> </w:t>
      </w:r>
      <w:r>
        <w:t xml:space="preserve">Dat betekent dat wij aandacht voor de 4 P’s hebben, te weten:  programma (zijnde sprekers tijdens congressen en evenementen), publiek (deelnemers en leden), personeel (bureau, bestuur, redactie) en partners (auteurs, recensenten, </w:t>
      </w:r>
      <w:r w:rsidRPr="000C5014">
        <w:rPr>
          <w:i/>
        </w:rPr>
        <w:t>reviewers</w:t>
      </w:r>
      <w:r>
        <w:t xml:space="preserve"> maar</w:t>
      </w:r>
      <w:r w:rsidR="00A81A1E">
        <w:t xml:space="preserve"> ook</w:t>
      </w:r>
      <w:r>
        <w:t xml:space="preserve"> samenwerkingspartners voor </w:t>
      </w:r>
      <w:r w:rsidR="00A81A1E">
        <w:t xml:space="preserve">activiteiten en </w:t>
      </w:r>
      <w:r>
        <w:t>evenementen).</w:t>
      </w:r>
    </w:p>
    <w:p w14:paraId="59CC9089" w14:textId="77777777" w:rsidR="004E5E91" w:rsidRDefault="004327F3" w:rsidP="004E5E91">
      <w:r>
        <w:t>Uit wetenschappelijk onderzoek weten we dat er drie verschillende type</w:t>
      </w:r>
      <w:r w:rsidR="00137E87">
        <w:t>n</w:t>
      </w:r>
      <w:r>
        <w:t xml:space="preserve"> maatregelen te onderscheiden zijn, gericht op aantallen (</w:t>
      </w:r>
      <w:r w:rsidRPr="004327F3">
        <w:rPr>
          <w:i/>
        </w:rPr>
        <w:t>fixing the numbers</w:t>
      </w:r>
      <w:r>
        <w:t xml:space="preserve">, om te zorgen dat </w:t>
      </w:r>
      <w:r w:rsidR="00A81A1E">
        <w:t xml:space="preserve">het </w:t>
      </w:r>
      <w:r>
        <w:t>aantal vertegenwoordigers uit bepaalde categorieën toene</w:t>
      </w:r>
      <w:r w:rsidR="00A81A1E">
        <w:t>emt</w:t>
      </w:r>
      <w:r>
        <w:t>), gericht op</w:t>
      </w:r>
      <w:r w:rsidR="00137E87">
        <w:t xml:space="preserve"> de organisatie </w:t>
      </w:r>
      <w:r>
        <w:t>zelf (</w:t>
      </w:r>
      <w:r w:rsidRPr="004327F3">
        <w:rPr>
          <w:i/>
        </w:rPr>
        <w:t>fixing the institution</w:t>
      </w:r>
      <w:r>
        <w:rPr>
          <w:i/>
        </w:rPr>
        <w:t xml:space="preserve">, </w:t>
      </w:r>
      <w:r>
        <w:t xml:space="preserve">gericht op </w:t>
      </w:r>
      <w:r w:rsidR="00A81A1E">
        <w:t>werven</w:t>
      </w:r>
      <w:r>
        <w:t xml:space="preserve">, </w:t>
      </w:r>
      <w:r w:rsidR="00380F74">
        <w:t xml:space="preserve">eventueel </w:t>
      </w:r>
      <w:r>
        <w:t>ondersteunen of begeleiden van ondervertegenwoordigde individuen</w:t>
      </w:r>
      <w:r w:rsidR="00380F74">
        <w:t>. Bij deze maatregelen ligt verantwoordelijkheid in bewustwording en handelen bij alle medewerkers bureau én de leden van het bestuur</w:t>
      </w:r>
      <w:r>
        <w:t>) en gericht op kennis (</w:t>
      </w:r>
      <w:r w:rsidRPr="004327F3">
        <w:rPr>
          <w:i/>
        </w:rPr>
        <w:t>fixing the knowlegde</w:t>
      </w:r>
      <w:r>
        <w:t>, de integratie van kennis in</w:t>
      </w:r>
      <w:r w:rsidR="00380F74">
        <w:t xml:space="preserve"> en over</w:t>
      </w:r>
      <w:r>
        <w:t xml:space="preserve"> de organisatie).</w:t>
      </w:r>
      <w:r>
        <w:rPr>
          <w:rStyle w:val="Voetnootmarkering"/>
        </w:rPr>
        <w:footnoteReference w:id="1"/>
      </w:r>
      <w:r w:rsidR="00137E87">
        <w:t xml:space="preserve"> Alle drie typen maatregelen </w:t>
      </w:r>
      <w:r w:rsidR="00A81A1E">
        <w:t xml:space="preserve">zijn de afgelopen jaren ingezet en </w:t>
      </w:r>
      <w:r w:rsidR="00137E87">
        <w:t>zullen worden ingezet de komende jaren.</w:t>
      </w:r>
      <w:r w:rsidR="004E5E91" w:rsidRPr="004E5E91">
        <w:t xml:space="preserve"> </w:t>
      </w:r>
    </w:p>
    <w:p w14:paraId="567578B7" w14:textId="55DAB77C" w:rsidR="004327F3" w:rsidRDefault="004E5E91" w:rsidP="004327F3">
      <w:r>
        <w:t xml:space="preserve">Tot slot nog een opmerking over een veilig werkklimaat; dat is voor iedereen die werkt van belang. Het KNHG maakt organisatorisch onderdeel uit van Huygens ING dat weer onderdeel is van het KNAW Humanities Cluster (HuC) Binnen het HuC zijn er vertrouwenscontactpersonen aangesteld die als eerste aanspreekpunt dienen bij ongewenst of grensoverschrijdend gedrag. Binnen de KNAW zijn externe vertrouwenspersonen aangesteld. Daarom maakt een veilig werkklimaat geen onderdeel uit van dit plan. Binnen het team KNHG wordt in teamoverleggen dit onderwerp bij tijd en wijle (net zoals de maatregelen rondom privacy) geagendeerd. </w:t>
      </w:r>
    </w:p>
    <w:p w14:paraId="407BD0AB" w14:textId="77777777" w:rsidR="00AF19B1" w:rsidRDefault="00AF19B1">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br w:type="page"/>
      </w:r>
    </w:p>
    <w:p w14:paraId="73A4D8B2" w14:textId="25B8E026" w:rsidR="006A249F" w:rsidRDefault="009C24A6" w:rsidP="00A81A1E">
      <w:pPr>
        <w:rPr>
          <w:rFonts w:asciiTheme="majorHAnsi" w:eastAsiaTheme="majorEastAsia" w:hAnsiTheme="majorHAnsi" w:cstheme="majorBidi"/>
          <w:b/>
          <w:sz w:val="32"/>
          <w:szCs w:val="32"/>
        </w:rPr>
      </w:pPr>
      <w:r w:rsidRPr="00A81A1E">
        <w:rPr>
          <w:rFonts w:asciiTheme="majorHAnsi" w:eastAsiaTheme="majorEastAsia" w:hAnsiTheme="majorHAnsi" w:cstheme="majorBidi"/>
          <w:b/>
          <w:sz w:val="32"/>
          <w:szCs w:val="32"/>
        </w:rPr>
        <w:lastRenderedPageBreak/>
        <w:t xml:space="preserve">Terugblik </w:t>
      </w:r>
    </w:p>
    <w:p w14:paraId="161A2B2A" w14:textId="77777777" w:rsidR="009C24A6" w:rsidRPr="006823C5" w:rsidRDefault="009C24A6" w:rsidP="00A81A1E">
      <w:pPr>
        <w:rPr>
          <w:rFonts w:asciiTheme="majorHAnsi" w:hAnsiTheme="majorHAnsi" w:cstheme="majorHAnsi"/>
          <w:i/>
          <w:sz w:val="28"/>
        </w:rPr>
      </w:pPr>
      <w:r w:rsidRPr="006823C5">
        <w:rPr>
          <w:rFonts w:asciiTheme="majorHAnsi" w:hAnsiTheme="majorHAnsi" w:cstheme="majorHAnsi"/>
          <w:i/>
          <w:sz w:val="28"/>
        </w:rPr>
        <w:t xml:space="preserve">Aandacht voor gender </w:t>
      </w:r>
    </w:p>
    <w:p w14:paraId="04F69F89" w14:textId="77777777" w:rsidR="00204FF4" w:rsidRDefault="00204FF4" w:rsidP="006823C5">
      <w:pPr>
        <w:pStyle w:val="Lijstalinea"/>
        <w:numPr>
          <w:ilvl w:val="0"/>
          <w:numId w:val="3"/>
        </w:numPr>
      </w:pPr>
      <w:r>
        <w:t>Vereniging:</w:t>
      </w:r>
    </w:p>
    <w:p w14:paraId="045303DE" w14:textId="77777777" w:rsidR="009C24A6" w:rsidRDefault="006823C5" w:rsidP="00204FF4">
      <w:pPr>
        <w:pStyle w:val="Lijstalinea"/>
        <w:numPr>
          <w:ilvl w:val="1"/>
          <w:numId w:val="3"/>
        </w:numPr>
      </w:pPr>
      <w:r>
        <w:t>bestuur</w:t>
      </w:r>
      <w:r w:rsidR="008508E2">
        <w:t xml:space="preserve"> </w:t>
      </w:r>
      <w:r>
        <w:t>– bij de wijzigingen in 2017 en 2019 is er aandacht geweest voor pariteit.</w:t>
      </w:r>
    </w:p>
    <w:p w14:paraId="7FC81EDB" w14:textId="77777777" w:rsidR="009C24A6" w:rsidRDefault="006823C5" w:rsidP="00204FF4">
      <w:pPr>
        <w:pStyle w:val="Lijstalinea"/>
        <w:numPr>
          <w:ilvl w:val="1"/>
          <w:numId w:val="3"/>
        </w:numPr>
      </w:pPr>
      <w:r>
        <w:t>bureau</w:t>
      </w:r>
      <w:r w:rsidR="008508E2">
        <w:t xml:space="preserve"> </w:t>
      </w:r>
      <w:r>
        <w:t>– bij werving van medewerkers in loondienst is er aandacht geweest voor aantrekken van mannen teneinde de volledig vrouwelijke samenstelling van het bureau te doorbreken.</w:t>
      </w:r>
    </w:p>
    <w:p w14:paraId="3B54B524" w14:textId="77777777" w:rsidR="006823C5" w:rsidRDefault="00204FF4" w:rsidP="00204FF4">
      <w:pPr>
        <w:pStyle w:val="Lijstalinea"/>
        <w:numPr>
          <w:ilvl w:val="1"/>
          <w:numId w:val="3"/>
        </w:numPr>
      </w:pPr>
      <w:r>
        <w:t>s</w:t>
      </w:r>
      <w:r w:rsidR="006823C5">
        <w:t>tagiaires/vrijwilligers – bij de werving van nieuwe stagiaires/vrijwilligers wordt altijd gekeken naar gender.</w:t>
      </w:r>
    </w:p>
    <w:p w14:paraId="3BB5EA0A" w14:textId="77777777" w:rsidR="00204FF4" w:rsidRDefault="00204FF4" w:rsidP="00204FF4">
      <w:pPr>
        <w:pStyle w:val="Lijstalinea"/>
        <w:numPr>
          <w:ilvl w:val="0"/>
          <w:numId w:val="3"/>
        </w:numPr>
      </w:pPr>
      <w:r>
        <w:t>Tijdschrift:</w:t>
      </w:r>
    </w:p>
    <w:p w14:paraId="4CE051CE" w14:textId="77777777" w:rsidR="003F2147" w:rsidRDefault="003F2147" w:rsidP="003F2147">
      <w:pPr>
        <w:pStyle w:val="Lijstalinea"/>
        <w:numPr>
          <w:ilvl w:val="1"/>
          <w:numId w:val="3"/>
        </w:numPr>
      </w:pPr>
      <w:r>
        <w:t>redactie -</w:t>
      </w:r>
      <w:r w:rsidRPr="006823C5">
        <w:t xml:space="preserve"> </w:t>
      </w:r>
      <w:r>
        <w:t>bij de wijzigingen in 2017, 2018 en 2019 is er aandacht geweest voor pariteit.</w:t>
      </w:r>
    </w:p>
    <w:p w14:paraId="54AF3350" w14:textId="77777777" w:rsidR="00204FF4" w:rsidRDefault="003F2147" w:rsidP="00204FF4">
      <w:pPr>
        <w:pStyle w:val="Lijstalinea"/>
        <w:numPr>
          <w:ilvl w:val="1"/>
          <w:numId w:val="3"/>
        </w:numPr>
      </w:pPr>
      <w:r>
        <w:t>a</w:t>
      </w:r>
      <w:r w:rsidR="009C24A6">
        <w:t>uteurs/recensenten</w:t>
      </w:r>
      <w:r w:rsidR="008508E2">
        <w:t>/</w:t>
      </w:r>
      <w:r w:rsidR="008508E2" w:rsidRPr="00204FF4">
        <w:rPr>
          <w:i/>
        </w:rPr>
        <w:t>reviewers</w:t>
      </w:r>
      <w:r w:rsidR="008508E2">
        <w:t xml:space="preserve"> BMGN –</w:t>
      </w:r>
      <w:r w:rsidR="006823C5">
        <w:t xml:space="preserve"> in 2019 is er inventarisatie opgesteld over voorgaande jaren (letterlijk aantallen</w:t>
      </w:r>
      <w:r w:rsidR="009C24A6">
        <w:t xml:space="preserve"> geteld</w:t>
      </w:r>
      <w:r w:rsidR="006823C5">
        <w:t xml:space="preserve">), vervolgens is er </w:t>
      </w:r>
      <w:r w:rsidR="009C24A6">
        <w:t>beleid</w:t>
      </w:r>
      <w:r w:rsidR="008508E2">
        <w:t xml:space="preserve"> opgesteld</w:t>
      </w:r>
      <w:r w:rsidR="00204FF4">
        <w:t xml:space="preserve"> dat ook wordt uitgevoerd. De resultaten worden </w:t>
      </w:r>
      <w:r w:rsidR="008508E2">
        <w:t xml:space="preserve">jaarlijks besproken op </w:t>
      </w:r>
      <w:r w:rsidR="00204FF4">
        <w:t>het redactieberaad.</w:t>
      </w:r>
    </w:p>
    <w:p w14:paraId="605057FB" w14:textId="77777777" w:rsidR="00204FF4" w:rsidRDefault="003F2147" w:rsidP="00204FF4">
      <w:pPr>
        <w:pStyle w:val="Lijstalinea"/>
        <w:numPr>
          <w:ilvl w:val="1"/>
          <w:numId w:val="3"/>
        </w:numPr>
      </w:pPr>
      <w:r>
        <w:t>b</w:t>
      </w:r>
      <w:r w:rsidR="00204FF4">
        <w:t>eleidswijziging m.b.t. annotatie – bewust gekozen voor- en achternamen te vermelden in</w:t>
      </w:r>
      <w:r>
        <w:t xml:space="preserve"> literatuurvermeldingen. Hierdoor wordt zichtbaar of auteur ook wetenschappelijke literatuur van </w:t>
      </w:r>
      <w:r w:rsidR="00204FF4">
        <w:t xml:space="preserve">vrouwen </w:t>
      </w:r>
      <w:r>
        <w:t>heeft gebruikt. I</w:t>
      </w:r>
      <w:r w:rsidR="00204FF4">
        <w:t xml:space="preserve">n redactiefase </w:t>
      </w:r>
      <w:r>
        <w:t xml:space="preserve">wordt hier </w:t>
      </w:r>
      <w:r w:rsidR="00204FF4">
        <w:t xml:space="preserve">expliciet </w:t>
      </w:r>
      <w:r>
        <w:t xml:space="preserve">op gewezen richting </w:t>
      </w:r>
      <w:r w:rsidR="00204FF4">
        <w:t>auteurs.</w:t>
      </w:r>
    </w:p>
    <w:p w14:paraId="054C22CF" w14:textId="77777777" w:rsidR="00204FF4" w:rsidRPr="00204FF4" w:rsidRDefault="00204FF4" w:rsidP="00204FF4">
      <w:pPr>
        <w:rPr>
          <w:i/>
        </w:rPr>
      </w:pPr>
      <w:r>
        <w:t>Het merendeel van deze maatregelen vallen in de categorie</w:t>
      </w:r>
      <w:r>
        <w:rPr>
          <w:i/>
        </w:rPr>
        <w:t xml:space="preserve"> fixing the numbers. </w:t>
      </w:r>
      <w:r>
        <w:t xml:space="preserve">Met betrekking tot het beleid van BMGN is er ook sprake van </w:t>
      </w:r>
      <w:r>
        <w:rPr>
          <w:i/>
        </w:rPr>
        <w:t>fixing the knowlegde.</w:t>
      </w:r>
    </w:p>
    <w:p w14:paraId="54E024E2" w14:textId="77777777" w:rsidR="009C24A6" w:rsidRPr="003F2147" w:rsidRDefault="009C24A6" w:rsidP="003F2147">
      <w:pPr>
        <w:rPr>
          <w:rFonts w:asciiTheme="majorHAnsi" w:hAnsiTheme="majorHAnsi" w:cstheme="majorHAnsi"/>
          <w:i/>
          <w:sz w:val="28"/>
        </w:rPr>
      </w:pPr>
      <w:r w:rsidRPr="003F2147">
        <w:rPr>
          <w:rFonts w:asciiTheme="majorHAnsi" w:hAnsiTheme="majorHAnsi" w:cstheme="majorHAnsi"/>
          <w:i/>
          <w:sz w:val="28"/>
        </w:rPr>
        <w:t>Aandacht voor leeftijd</w:t>
      </w:r>
    </w:p>
    <w:p w14:paraId="35F3C918" w14:textId="77777777" w:rsidR="0063291B" w:rsidRDefault="0063291B" w:rsidP="0063291B">
      <w:pPr>
        <w:pStyle w:val="Lijstalinea"/>
        <w:numPr>
          <w:ilvl w:val="0"/>
          <w:numId w:val="3"/>
        </w:numPr>
      </w:pPr>
      <w:r>
        <w:t>Vereniging:</w:t>
      </w:r>
    </w:p>
    <w:p w14:paraId="64767323" w14:textId="77777777" w:rsidR="0063291B" w:rsidRDefault="009C24A6" w:rsidP="00BE2EB2">
      <w:pPr>
        <w:pStyle w:val="Lijstalinea"/>
        <w:numPr>
          <w:ilvl w:val="1"/>
          <w:numId w:val="3"/>
        </w:numPr>
      </w:pPr>
      <w:r>
        <w:t>Jong KNHG</w:t>
      </w:r>
      <w:r w:rsidR="008508E2">
        <w:t xml:space="preserve"> </w:t>
      </w:r>
      <w:r w:rsidR="0063291B">
        <w:t>(</w:t>
      </w:r>
      <w:r w:rsidR="008508E2">
        <w:t>opgericht in 2016</w:t>
      </w:r>
      <w:r w:rsidR="0063291B">
        <w:t>)</w:t>
      </w:r>
    </w:p>
    <w:p w14:paraId="2F2BE241" w14:textId="77777777" w:rsidR="0063291B" w:rsidRDefault="0063291B" w:rsidP="0063291B">
      <w:pPr>
        <w:pStyle w:val="Lijstalinea"/>
        <w:numPr>
          <w:ilvl w:val="2"/>
          <w:numId w:val="3"/>
        </w:numPr>
      </w:pPr>
      <w:r>
        <w:t>Stoel in bestuur (zittingstermijn twee jaar)</w:t>
      </w:r>
    </w:p>
    <w:p w14:paraId="4193979A" w14:textId="77777777" w:rsidR="0063291B" w:rsidRDefault="0063291B" w:rsidP="0063291B">
      <w:pPr>
        <w:pStyle w:val="Lijstalinea"/>
        <w:numPr>
          <w:ilvl w:val="2"/>
          <w:numId w:val="3"/>
        </w:numPr>
      </w:pPr>
      <w:r>
        <w:t>Eigen werkgroep met eigen budget en verantwoordelijkheid voor evenementen etc.</w:t>
      </w:r>
    </w:p>
    <w:p w14:paraId="562BCD6E" w14:textId="77777777" w:rsidR="0063291B" w:rsidRDefault="0063291B" w:rsidP="00CD5E72">
      <w:pPr>
        <w:pStyle w:val="Lijstalinea"/>
        <w:numPr>
          <w:ilvl w:val="3"/>
          <w:numId w:val="3"/>
        </w:numPr>
      </w:pPr>
      <w:r>
        <w:t>O</w:t>
      </w:r>
      <w:r w:rsidR="008508E2">
        <w:t>p congressen</w:t>
      </w:r>
      <w:r>
        <w:t xml:space="preserve"> -actief benaderd:</w:t>
      </w:r>
    </w:p>
    <w:p w14:paraId="6974D0AC" w14:textId="77777777" w:rsidR="0063291B" w:rsidRDefault="0063291B" w:rsidP="0063291B">
      <w:pPr>
        <w:pStyle w:val="Lijstalinea"/>
        <w:numPr>
          <w:ilvl w:val="4"/>
          <w:numId w:val="3"/>
        </w:numPr>
      </w:pPr>
      <w:r>
        <w:t>Voor organisatie, meedenken en organiseren</w:t>
      </w:r>
    </w:p>
    <w:p w14:paraId="41763CE9" w14:textId="77777777" w:rsidR="0063291B" w:rsidRDefault="0063291B" w:rsidP="0063291B">
      <w:pPr>
        <w:pStyle w:val="Lijstalinea"/>
        <w:numPr>
          <w:ilvl w:val="4"/>
          <w:numId w:val="3"/>
        </w:numPr>
      </w:pPr>
      <w:r>
        <w:t>als sprekers</w:t>
      </w:r>
      <w:r w:rsidR="00C24DC0">
        <w:t xml:space="preserve">, </w:t>
      </w:r>
      <w:r>
        <w:t>rol in het programma, zichtbaarheid vergroten</w:t>
      </w:r>
    </w:p>
    <w:p w14:paraId="700B9C18" w14:textId="77777777" w:rsidR="0063291B" w:rsidRDefault="00C24DC0" w:rsidP="0063291B">
      <w:pPr>
        <w:pStyle w:val="Lijstalinea"/>
        <w:numPr>
          <w:ilvl w:val="4"/>
          <w:numId w:val="3"/>
        </w:numPr>
      </w:pPr>
      <w:r>
        <w:t>als deelnemer</w:t>
      </w:r>
      <w:r w:rsidR="0063291B">
        <w:t>s (</w:t>
      </w:r>
      <w:r>
        <w:t>bijv. door korting of gratis toegang</w:t>
      </w:r>
    </w:p>
    <w:p w14:paraId="087042AD" w14:textId="77777777" w:rsidR="0063291B" w:rsidRDefault="0063291B" w:rsidP="0063291B">
      <w:pPr>
        <w:pStyle w:val="Lijstalinea"/>
        <w:numPr>
          <w:ilvl w:val="3"/>
          <w:numId w:val="3"/>
        </w:numPr>
      </w:pPr>
      <w:r>
        <w:t>Communicatie</w:t>
      </w:r>
    </w:p>
    <w:p w14:paraId="55BAA75C" w14:textId="77777777" w:rsidR="0063291B" w:rsidRDefault="0063291B" w:rsidP="0063291B">
      <w:pPr>
        <w:pStyle w:val="Lijstalinea"/>
        <w:numPr>
          <w:ilvl w:val="4"/>
          <w:numId w:val="3"/>
        </w:numPr>
      </w:pPr>
      <w:r>
        <w:t xml:space="preserve">Eigen pagina </w:t>
      </w:r>
      <w:r w:rsidR="008508E2">
        <w:t xml:space="preserve">op website </w:t>
      </w:r>
    </w:p>
    <w:p w14:paraId="74B35D52" w14:textId="77777777" w:rsidR="009C24A6" w:rsidRDefault="0063291B" w:rsidP="0063291B">
      <w:pPr>
        <w:pStyle w:val="Lijstalinea"/>
        <w:numPr>
          <w:ilvl w:val="4"/>
          <w:numId w:val="3"/>
        </w:numPr>
      </w:pPr>
      <w:r>
        <w:t xml:space="preserve">eigen sociale media </w:t>
      </w:r>
      <w:r w:rsidR="00C24DC0">
        <w:t>kanalen</w:t>
      </w:r>
      <w:r>
        <w:t xml:space="preserve"> (met</w:t>
      </w:r>
      <w:r w:rsidR="00C24DC0">
        <w:t xml:space="preserve"> vrijheid om naar eigen goeddunken in te vullen)</w:t>
      </w:r>
    </w:p>
    <w:p w14:paraId="200FF805" w14:textId="77777777" w:rsidR="0063291B" w:rsidRDefault="009C24A6" w:rsidP="0063291B">
      <w:pPr>
        <w:pStyle w:val="Lijstalinea"/>
        <w:numPr>
          <w:ilvl w:val="1"/>
          <w:numId w:val="3"/>
        </w:numPr>
      </w:pPr>
      <w:r>
        <w:t xml:space="preserve">Stage/werving- en ervaringsplekken </w:t>
      </w:r>
    </w:p>
    <w:p w14:paraId="1FAA9A94" w14:textId="77777777" w:rsidR="0063291B" w:rsidRDefault="0063291B" w:rsidP="0063291B">
      <w:pPr>
        <w:pStyle w:val="Lijstalinea"/>
        <w:numPr>
          <w:ilvl w:val="2"/>
          <w:numId w:val="3"/>
        </w:numPr>
      </w:pPr>
      <w:r>
        <w:t xml:space="preserve">zowel regulier als speciaal </w:t>
      </w:r>
      <w:r w:rsidR="008508E2">
        <w:t>gecreëerd</w:t>
      </w:r>
      <w:r>
        <w:t xml:space="preserve">e plekken </w:t>
      </w:r>
    </w:p>
    <w:p w14:paraId="6EF8F388" w14:textId="77777777" w:rsidR="009C24A6" w:rsidRDefault="00017257" w:rsidP="0063291B">
      <w:pPr>
        <w:pStyle w:val="Lijstalinea"/>
        <w:numPr>
          <w:ilvl w:val="2"/>
          <w:numId w:val="3"/>
        </w:numPr>
      </w:pPr>
      <w:r>
        <w:t xml:space="preserve">actieve werving, zichtbaar maken </w:t>
      </w:r>
      <w:r w:rsidR="008508E2">
        <w:t>stagiaires</w:t>
      </w:r>
      <w:r>
        <w:t>/vrijwilligers</w:t>
      </w:r>
      <w:r w:rsidR="008508E2">
        <w:t>– op website</w:t>
      </w:r>
      <w:r w:rsidR="0063291B">
        <w:t>, sociale media</w:t>
      </w:r>
      <w:r w:rsidR="008508E2">
        <w:t xml:space="preserve"> en in nieuwsbrief</w:t>
      </w:r>
    </w:p>
    <w:p w14:paraId="5FA3AB74" w14:textId="77777777" w:rsidR="0063291B" w:rsidRDefault="0063291B" w:rsidP="0063291B">
      <w:pPr>
        <w:pStyle w:val="Lijstalinea"/>
        <w:numPr>
          <w:ilvl w:val="1"/>
          <w:numId w:val="3"/>
        </w:numPr>
      </w:pPr>
      <w:r>
        <w:t>Seniorleden</w:t>
      </w:r>
    </w:p>
    <w:p w14:paraId="24F57582" w14:textId="77777777" w:rsidR="008508E2" w:rsidRDefault="008508E2" w:rsidP="0063291B">
      <w:pPr>
        <w:pStyle w:val="Lijstalinea"/>
        <w:numPr>
          <w:ilvl w:val="2"/>
          <w:numId w:val="3"/>
        </w:numPr>
      </w:pPr>
      <w:r>
        <w:t xml:space="preserve">Focusmeeting </w:t>
      </w:r>
      <w:r w:rsidR="0063291B">
        <w:t xml:space="preserve">in 2019. Centrale vraag was kennisvergaring: </w:t>
      </w:r>
      <w:r>
        <w:t xml:space="preserve">waarom worden/zijn/blijven </w:t>
      </w:r>
      <w:r w:rsidR="0063291B">
        <w:t>seniorleden</w:t>
      </w:r>
      <w:r>
        <w:t xml:space="preserve"> lid?</w:t>
      </w:r>
    </w:p>
    <w:p w14:paraId="77A9B312" w14:textId="77777777" w:rsidR="0072236E" w:rsidRDefault="0063291B" w:rsidP="0072236E">
      <w:pPr>
        <w:pStyle w:val="Lijstalinea"/>
        <w:numPr>
          <w:ilvl w:val="2"/>
          <w:numId w:val="3"/>
        </w:numPr>
      </w:pPr>
      <w:r>
        <w:t>Briefkaart kort na uitbreken Covid-19 pandemie ontwikkeld en verstuurd naar alle seniorleden om hen hart onder de riem te steken.</w:t>
      </w:r>
    </w:p>
    <w:p w14:paraId="4447B83E" w14:textId="77777777" w:rsidR="0063291B" w:rsidRDefault="0063291B" w:rsidP="0063291B">
      <w:pPr>
        <w:pStyle w:val="Lijstalinea"/>
        <w:numPr>
          <w:ilvl w:val="0"/>
          <w:numId w:val="3"/>
        </w:numPr>
      </w:pPr>
      <w:r>
        <w:t>Tijdschrift:</w:t>
      </w:r>
    </w:p>
    <w:p w14:paraId="0E74025C" w14:textId="77777777" w:rsidR="0063291B" w:rsidRDefault="0063291B" w:rsidP="0063291B">
      <w:pPr>
        <w:pStyle w:val="Lijstalinea"/>
        <w:numPr>
          <w:ilvl w:val="1"/>
          <w:numId w:val="3"/>
        </w:numPr>
      </w:pPr>
      <w:r>
        <w:lastRenderedPageBreak/>
        <w:t xml:space="preserve">Aandacht voor jonge auteurs </w:t>
      </w:r>
    </w:p>
    <w:p w14:paraId="138B431D" w14:textId="77777777" w:rsidR="0063291B" w:rsidRDefault="0063291B" w:rsidP="0063291B">
      <w:pPr>
        <w:pStyle w:val="Lijstalinea"/>
        <w:numPr>
          <w:ilvl w:val="2"/>
          <w:numId w:val="3"/>
        </w:numPr>
      </w:pPr>
      <w:r>
        <w:t>Extra begeleiding door redactie indien nodig</w:t>
      </w:r>
    </w:p>
    <w:p w14:paraId="609A7225" w14:textId="77777777" w:rsidR="0063291B" w:rsidRDefault="0063291B" w:rsidP="0063291B">
      <w:pPr>
        <w:pStyle w:val="Lijstalinea"/>
        <w:numPr>
          <w:ilvl w:val="2"/>
          <w:numId w:val="3"/>
        </w:numPr>
      </w:pPr>
      <w:r>
        <w:t>In 2020 drie beurzen uitgeloofd voor recent gepromoveerden om artikel te kunnen schrijven.</w:t>
      </w:r>
    </w:p>
    <w:p w14:paraId="2019E1A4" w14:textId="77777777" w:rsidR="00C05D79" w:rsidRPr="00C05D79" w:rsidRDefault="00C05D79" w:rsidP="00C05D79">
      <w:pPr>
        <w:rPr>
          <w:i/>
        </w:rPr>
      </w:pPr>
      <w:r>
        <w:t>Het merendeel van deze maatregelen vallen in de categorie</w:t>
      </w:r>
      <w:r w:rsidRPr="00C05D79">
        <w:rPr>
          <w:i/>
        </w:rPr>
        <w:t xml:space="preserve"> fixing the numbers. </w:t>
      </w:r>
      <w:r>
        <w:t xml:space="preserve">Met betrekking tot het seniorleden is er ook sprake van </w:t>
      </w:r>
      <w:r w:rsidRPr="00C05D79">
        <w:rPr>
          <w:i/>
        </w:rPr>
        <w:t>fixing the knowlegde.</w:t>
      </w:r>
    </w:p>
    <w:p w14:paraId="1BF20F25" w14:textId="305FD05B" w:rsidR="009C24A6" w:rsidRPr="00755B0D" w:rsidRDefault="009C24A6" w:rsidP="00755B0D">
      <w:pPr>
        <w:rPr>
          <w:rFonts w:asciiTheme="majorHAnsi" w:hAnsiTheme="majorHAnsi" w:cstheme="majorHAnsi"/>
          <w:i/>
          <w:sz w:val="28"/>
        </w:rPr>
      </w:pPr>
      <w:r w:rsidRPr="00755B0D">
        <w:rPr>
          <w:rFonts w:asciiTheme="majorHAnsi" w:hAnsiTheme="majorHAnsi" w:cstheme="majorHAnsi"/>
          <w:i/>
          <w:sz w:val="28"/>
        </w:rPr>
        <w:t>Aandacht voor kleur</w:t>
      </w:r>
      <w:r w:rsidR="00AB247F">
        <w:rPr>
          <w:rFonts w:asciiTheme="majorHAnsi" w:hAnsiTheme="majorHAnsi" w:cstheme="majorHAnsi"/>
          <w:i/>
          <w:sz w:val="28"/>
        </w:rPr>
        <w:t>/etnische diversiteit</w:t>
      </w:r>
      <w:r w:rsidR="00AF19B1">
        <w:rPr>
          <w:rStyle w:val="Voetnootmarkering"/>
          <w:rFonts w:asciiTheme="majorHAnsi" w:hAnsiTheme="majorHAnsi" w:cstheme="majorHAnsi"/>
          <w:i/>
          <w:sz w:val="28"/>
        </w:rPr>
        <w:footnoteReference w:id="2"/>
      </w:r>
    </w:p>
    <w:p w14:paraId="303BCB9E" w14:textId="77777777" w:rsidR="00AB247F" w:rsidRDefault="00AB247F" w:rsidP="00AB247F">
      <w:pPr>
        <w:pStyle w:val="Lijstalinea"/>
        <w:numPr>
          <w:ilvl w:val="0"/>
          <w:numId w:val="1"/>
        </w:numPr>
      </w:pPr>
      <w:r>
        <w:t>Vereniging:</w:t>
      </w:r>
    </w:p>
    <w:p w14:paraId="00FF49B0" w14:textId="77777777" w:rsidR="009C24A6" w:rsidRDefault="00AB247F" w:rsidP="00AB247F">
      <w:pPr>
        <w:pStyle w:val="Lijstalinea"/>
        <w:numPr>
          <w:ilvl w:val="1"/>
          <w:numId w:val="1"/>
        </w:numPr>
      </w:pPr>
      <w:r>
        <w:t>bestuur - bij de wijzigingen in 2017 en 2019 is er aandacht geweest voor historici van kleur/etnische diversiteit.</w:t>
      </w:r>
    </w:p>
    <w:p w14:paraId="5CBA9DE2" w14:textId="3EC28C6D" w:rsidR="00680D96" w:rsidRDefault="00AB247F" w:rsidP="00AB247F">
      <w:pPr>
        <w:pStyle w:val="Lijstalinea"/>
        <w:numPr>
          <w:ilvl w:val="1"/>
          <w:numId w:val="1"/>
        </w:numPr>
      </w:pPr>
      <w:r>
        <w:t>bureau - bij werving van stagiaires en vrijwilligers is er aandacht geweest voor jonge historici van kleur. Dit heeft onder andere geleid tot aantrekken van aantal stagiaires en vrijwilligers van kleur</w:t>
      </w:r>
      <w:r w:rsidR="00680D96">
        <w:t>, zowel met een Nederlandse als met een internationale achtergrond.</w:t>
      </w:r>
    </w:p>
    <w:p w14:paraId="7E47C2BD" w14:textId="77777777" w:rsidR="009C24A6" w:rsidRDefault="00680D96" w:rsidP="00AB247F">
      <w:pPr>
        <w:pStyle w:val="Lijstalinea"/>
        <w:numPr>
          <w:ilvl w:val="1"/>
          <w:numId w:val="1"/>
        </w:numPr>
      </w:pPr>
      <w:r>
        <w:t>Vluchtelingen – vanaf 2018 biedt het KNHG heel bewust historici onder vluchtelingen in Nederland gratis toegang tot congressen én het netwerk van Nederlandse historici.</w:t>
      </w:r>
    </w:p>
    <w:p w14:paraId="2206B796" w14:textId="77777777" w:rsidR="009C24A6" w:rsidRDefault="00680D96" w:rsidP="00AB247F">
      <w:pPr>
        <w:pStyle w:val="Lijstalinea"/>
        <w:numPr>
          <w:ilvl w:val="1"/>
          <w:numId w:val="1"/>
        </w:numPr>
      </w:pPr>
      <w:r>
        <w:t>C</w:t>
      </w:r>
      <w:r w:rsidR="009C24A6">
        <w:t>ongressen</w:t>
      </w:r>
      <w:r>
        <w:t xml:space="preserve"> – bij de samenstelling van sprekers voor de congressen en congresonderdelen wordt kleur/etnische diversiteit bewust meegenomen.</w:t>
      </w:r>
    </w:p>
    <w:p w14:paraId="76BDB0C2" w14:textId="77777777" w:rsidR="00680D96" w:rsidRDefault="00680D96" w:rsidP="00AB247F">
      <w:r>
        <w:t>Deze maatregelen vallen in de categorie</w:t>
      </w:r>
      <w:r>
        <w:rPr>
          <w:i/>
        </w:rPr>
        <w:t xml:space="preserve"> fixing the numbers.</w:t>
      </w:r>
    </w:p>
    <w:p w14:paraId="6632F650" w14:textId="77777777" w:rsidR="00AB247F" w:rsidRPr="00680D96" w:rsidRDefault="009C24A6" w:rsidP="00AB247F">
      <w:pPr>
        <w:rPr>
          <w:rFonts w:asciiTheme="majorHAnsi" w:hAnsiTheme="majorHAnsi" w:cstheme="majorHAnsi"/>
          <w:i/>
          <w:sz w:val="28"/>
        </w:rPr>
      </w:pPr>
      <w:r w:rsidRPr="00680D96">
        <w:rPr>
          <w:rFonts w:asciiTheme="majorHAnsi" w:hAnsiTheme="majorHAnsi" w:cstheme="majorHAnsi"/>
          <w:i/>
          <w:sz w:val="28"/>
        </w:rPr>
        <w:t xml:space="preserve">Aandacht voor </w:t>
      </w:r>
      <w:r w:rsidR="008508E2" w:rsidRPr="00680D96">
        <w:rPr>
          <w:rFonts w:asciiTheme="majorHAnsi" w:hAnsiTheme="majorHAnsi" w:cstheme="majorHAnsi"/>
          <w:i/>
          <w:sz w:val="28"/>
        </w:rPr>
        <w:t>herkomst</w:t>
      </w:r>
    </w:p>
    <w:p w14:paraId="4C20545F" w14:textId="77777777" w:rsidR="00680D96" w:rsidRDefault="00680D96" w:rsidP="00680D96">
      <w:pPr>
        <w:pStyle w:val="Lijstalinea"/>
        <w:numPr>
          <w:ilvl w:val="0"/>
          <w:numId w:val="1"/>
        </w:numPr>
      </w:pPr>
      <w:r>
        <w:t>Vereniging</w:t>
      </w:r>
    </w:p>
    <w:p w14:paraId="0F519D47" w14:textId="77777777" w:rsidR="00680D96" w:rsidRDefault="00680D96" w:rsidP="00680D96">
      <w:pPr>
        <w:pStyle w:val="Lijstalinea"/>
        <w:numPr>
          <w:ilvl w:val="1"/>
          <w:numId w:val="1"/>
        </w:numPr>
      </w:pPr>
      <w:r>
        <w:t xml:space="preserve">bestuur/bureau/stagiaires &amp; vrijwilligers </w:t>
      </w:r>
      <w:r w:rsidR="008508E2">
        <w:t xml:space="preserve">– </w:t>
      </w:r>
      <w:r>
        <w:t>voor de samenstelling van deze teams wordt nadrukkelijk naar regionale spreiding (in Nederland) gezocht teneinde een puur ‘randstedelijke’ samenstelling te voorkomen.</w:t>
      </w:r>
    </w:p>
    <w:p w14:paraId="490B5B53" w14:textId="77777777" w:rsidR="0072236E" w:rsidRDefault="0072236E" w:rsidP="0072236E">
      <w:pPr>
        <w:pStyle w:val="Lijstalinea"/>
        <w:numPr>
          <w:ilvl w:val="1"/>
          <w:numId w:val="1"/>
        </w:numPr>
      </w:pPr>
      <w:r>
        <w:t xml:space="preserve">Vluchtelingen – vanaf 2018 biedt het KNHG heel bewust historici onder vluchtelingen in Nederland gratis toegang tot congressen én het netwerk van Nederlandse historici. </w:t>
      </w:r>
    </w:p>
    <w:p w14:paraId="53BB5146" w14:textId="77777777" w:rsidR="00680D96" w:rsidRDefault="00680D96" w:rsidP="00AB247F">
      <w:pPr>
        <w:pStyle w:val="Lijstalinea"/>
        <w:numPr>
          <w:ilvl w:val="0"/>
          <w:numId w:val="1"/>
        </w:numPr>
      </w:pPr>
      <w:r>
        <w:t>Tijdschrift:</w:t>
      </w:r>
    </w:p>
    <w:p w14:paraId="5429C744" w14:textId="44258BBE" w:rsidR="00680D96" w:rsidRDefault="00680D96" w:rsidP="00680D96">
      <w:pPr>
        <w:pStyle w:val="Lijstalinea"/>
        <w:numPr>
          <w:ilvl w:val="1"/>
          <w:numId w:val="1"/>
        </w:numPr>
      </w:pPr>
      <w:r>
        <w:t>redactie – vertaalt zich in pariteit tussen Vlaanderen en Nederland in samenstelling</w:t>
      </w:r>
    </w:p>
    <w:p w14:paraId="61CE5790" w14:textId="77777777" w:rsidR="00680D96" w:rsidRDefault="00680D96" w:rsidP="00680D96">
      <w:pPr>
        <w:pStyle w:val="Lijstalinea"/>
        <w:numPr>
          <w:ilvl w:val="1"/>
          <w:numId w:val="3"/>
        </w:numPr>
      </w:pPr>
      <w:r>
        <w:t>auteurs, reviewers en recensenten - in 2019 is er inventarisatie opgesteld over voorgaande jaren (letterlijk aantallen geteld), vervolgens is beleid aangescherpt. Dit beleid wordt uitgevoerd. De resultaten worden jaarlijks besproken op het redactieberaad.</w:t>
      </w:r>
    </w:p>
    <w:p w14:paraId="440223AD" w14:textId="77777777" w:rsidR="00680D96" w:rsidRPr="00680D96" w:rsidRDefault="00680D96" w:rsidP="00680D96">
      <w:pPr>
        <w:rPr>
          <w:i/>
        </w:rPr>
      </w:pPr>
      <w:r>
        <w:t>Het merendeel van deze maatregelen vallen in de categorie</w:t>
      </w:r>
      <w:r w:rsidRPr="00680D96">
        <w:rPr>
          <w:i/>
        </w:rPr>
        <w:t xml:space="preserve"> fixing the numbers. </w:t>
      </w:r>
      <w:r>
        <w:t xml:space="preserve">Met betrekking tot het beleid van BMGN is er ook sprake van </w:t>
      </w:r>
      <w:r w:rsidRPr="00680D96">
        <w:rPr>
          <w:i/>
        </w:rPr>
        <w:t>fixing the knowlegde.</w:t>
      </w:r>
    </w:p>
    <w:p w14:paraId="211F8110" w14:textId="77777777" w:rsidR="00680D96" w:rsidRPr="00680D96" w:rsidRDefault="008508E2" w:rsidP="00680D96">
      <w:pPr>
        <w:rPr>
          <w:rFonts w:asciiTheme="majorHAnsi" w:hAnsiTheme="majorHAnsi" w:cstheme="majorHAnsi"/>
          <w:i/>
          <w:sz w:val="28"/>
        </w:rPr>
      </w:pPr>
      <w:r w:rsidRPr="00680D96">
        <w:rPr>
          <w:rFonts w:asciiTheme="majorHAnsi" w:hAnsiTheme="majorHAnsi" w:cstheme="majorHAnsi"/>
          <w:i/>
          <w:sz w:val="28"/>
        </w:rPr>
        <w:t>Aandacht voor arbeidsbeper</w:t>
      </w:r>
      <w:r w:rsidR="009C24A6" w:rsidRPr="00680D96">
        <w:rPr>
          <w:rFonts w:asciiTheme="majorHAnsi" w:hAnsiTheme="majorHAnsi" w:cstheme="majorHAnsi"/>
          <w:i/>
          <w:sz w:val="28"/>
        </w:rPr>
        <w:t>k</w:t>
      </w:r>
      <w:r w:rsidRPr="00680D96">
        <w:rPr>
          <w:rFonts w:asciiTheme="majorHAnsi" w:hAnsiTheme="majorHAnsi" w:cstheme="majorHAnsi"/>
          <w:i/>
          <w:sz w:val="28"/>
        </w:rPr>
        <w:t>i</w:t>
      </w:r>
      <w:r w:rsidR="009C24A6" w:rsidRPr="00680D96">
        <w:rPr>
          <w:rFonts w:asciiTheme="majorHAnsi" w:hAnsiTheme="majorHAnsi" w:cstheme="majorHAnsi"/>
          <w:i/>
          <w:sz w:val="28"/>
        </w:rPr>
        <w:t>ng</w:t>
      </w:r>
    </w:p>
    <w:p w14:paraId="50A6F4CA" w14:textId="77777777" w:rsidR="00330DFC" w:rsidRDefault="00330DFC" w:rsidP="00330DFC">
      <w:pPr>
        <w:pStyle w:val="Lijstalinea"/>
        <w:numPr>
          <w:ilvl w:val="0"/>
          <w:numId w:val="1"/>
        </w:numPr>
      </w:pPr>
      <w:r>
        <w:t>Vereniging:</w:t>
      </w:r>
    </w:p>
    <w:p w14:paraId="3009C924" w14:textId="77777777" w:rsidR="009C24A6" w:rsidRDefault="00330DFC" w:rsidP="00E70B45">
      <w:pPr>
        <w:pStyle w:val="Lijstalinea"/>
        <w:numPr>
          <w:ilvl w:val="1"/>
          <w:numId w:val="1"/>
        </w:numPr>
      </w:pPr>
      <w:r>
        <w:lastRenderedPageBreak/>
        <w:t xml:space="preserve">sprekers </w:t>
      </w:r>
      <w:r w:rsidR="00017257">
        <w:t xml:space="preserve">op </w:t>
      </w:r>
      <w:r w:rsidR="009C24A6">
        <w:t>congressen</w:t>
      </w:r>
      <w:r>
        <w:t xml:space="preserve"> – aantal keer spreker met arbeidsbeperking (voorjaarscongres 2018, </w:t>
      </w:r>
      <w:r w:rsidR="009C24A6">
        <w:t xml:space="preserve"> jaarcongres 2018</w:t>
      </w:r>
      <w:r>
        <w:t xml:space="preserve">) en actieve benadering voor sprekers tijdens de Historicidagen 2019 (met als thema Inclusieve Geschiedenis) </w:t>
      </w:r>
    </w:p>
    <w:p w14:paraId="0276492B" w14:textId="77777777" w:rsidR="00616B6B" w:rsidRDefault="00616B6B" w:rsidP="00E70B45">
      <w:pPr>
        <w:pStyle w:val="Lijstalinea"/>
        <w:numPr>
          <w:ilvl w:val="1"/>
          <w:numId w:val="1"/>
        </w:numPr>
      </w:pPr>
      <w:r>
        <w:t>Tijdschrift – er is artikel over Disability Studies/gelijke behandeling gehandicapten verschenen in BMGN 2019. Dit artikel is ook het omslagartikel geworden.</w:t>
      </w:r>
    </w:p>
    <w:p w14:paraId="0EE196FE" w14:textId="77777777" w:rsidR="00AB247F" w:rsidRDefault="00DD0456" w:rsidP="00DD0456">
      <w:r>
        <w:t>Deze maatregelen vallen in de categorie</w:t>
      </w:r>
      <w:r>
        <w:rPr>
          <w:i/>
        </w:rPr>
        <w:t xml:space="preserve"> fixing the numbers.</w:t>
      </w:r>
    </w:p>
    <w:p w14:paraId="7F6A53BB" w14:textId="77777777" w:rsidR="009C24A6" w:rsidRPr="00DD0456" w:rsidRDefault="009C24A6" w:rsidP="00DD0456">
      <w:pPr>
        <w:rPr>
          <w:rFonts w:asciiTheme="majorHAnsi" w:hAnsiTheme="majorHAnsi" w:cstheme="majorHAnsi"/>
          <w:i/>
          <w:sz w:val="28"/>
        </w:rPr>
      </w:pPr>
      <w:r w:rsidRPr="00DD0456">
        <w:rPr>
          <w:rFonts w:asciiTheme="majorHAnsi" w:hAnsiTheme="majorHAnsi" w:cstheme="majorHAnsi"/>
          <w:i/>
          <w:sz w:val="28"/>
        </w:rPr>
        <w:t>Overige</w:t>
      </w:r>
      <w:r w:rsidR="008508E2" w:rsidRPr="00DD0456">
        <w:rPr>
          <w:rFonts w:asciiTheme="majorHAnsi" w:hAnsiTheme="majorHAnsi" w:cstheme="majorHAnsi"/>
          <w:i/>
          <w:sz w:val="28"/>
        </w:rPr>
        <w:t xml:space="preserve"> activiteiten</w:t>
      </w:r>
    </w:p>
    <w:p w14:paraId="0BAE44EA" w14:textId="77777777" w:rsidR="00BA7A48" w:rsidRDefault="00BA7A48" w:rsidP="006952CD">
      <w:pPr>
        <w:pStyle w:val="Lijstalinea"/>
        <w:numPr>
          <w:ilvl w:val="0"/>
          <w:numId w:val="1"/>
        </w:numPr>
      </w:pPr>
      <w:r>
        <w:t>Alle (tijdelijke) medewerkers krijgen een exit gesprek aangeboden wanneer zij de organisatie verlaten. In dat gesprek wordt hen gevraagd naar hun ervaringen maar ook hun tips en adviezen voor de toekomst.</w:t>
      </w:r>
    </w:p>
    <w:p w14:paraId="412CCB9B" w14:textId="7F618828" w:rsidR="0029666E" w:rsidRDefault="0029666E" w:rsidP="006952CD">
      <w:pPr>
        <w:pStyle w:val="Lijstalinea"/>
        <w:numPr>
          <w:ilvl w:val="0"/>
          <w:numId w:val="1"/>
        </w:numPr>
      </w:pPr>
      <w:r>
        <w:t>Actief en bewust historici aan de rechterkant van het politieke spectrum benaderd voor deelname aan congressen/bijeenkomsten.</w:t>
      </w:r>
    </w:p>
    <w:p w14:paraId="2D1B2C63" w14:textId="2BFDC2F4" w:rsidR="0072236E" w:rsidRDefault="0072236E" w:rsidP="006952CD">
      <w:pPr>
        <w:pStyle w:val="Lijstalinea"/>
        <w:numPr>
          <w:ilvl w:val="0"/>
          <w:numId w:val="1"/>
        </w:numPr>
      </w:pPr>
      <w:r>
        <w:t xml:space="preserve">Adviserende </w:t>
      </w:r>
      <w:r w:rsidR="00B15A6A">
        <w:t xml:space="preserve">rol </w:t>
      </w:r>
      <w:r>
        <w:t>en ondersteuning p</w:t>
      </w:r>
      <w:r w:rsidR="009C24A6" w:rsidRPr="009C24A6">
        <w:t xml:space="preserve">roject </w:t>
      </w:r>
      <w:r w:rsidRPr="0072236E">
        <w:rPr>
          <w:i/>
        </w:rPr>
        <w:t>decolonize the curriculum</w:t>
      </w:r>
      <w:r>
        <w:t xml:space="preserve"> van</w:t>
      </w:r>
      <w:r w:rsidRPr="0072236E">
        <w:t xml:space="preserve"> </w:t>
      </w:r>
      <w:r w:rsidR="009C24A6" w:rsidRPr="009C24A6">
        <w:t xml:space="preserve">Lema </w:t>
      </w:r>
      <w:r w:rsidR="00C24DC0">
        <w:t>Salah (Jong KNHG</w:t>
      </w:r>
      <w:r w:rsidR="00B15A6A">
        <w:t>).</w:t>
      </w:r>
    </w:p>
    <w:p w14:paraId="0682AAC2" w14:textId="77777777" w:rsidR="0072236E" w:rsidRPr="0072236E" w:rsidRDefault="0072236E" w:rsidP="000F624B">
      <w:pPr>
        <w:pStyle w:val="Lijstalinea"/>
        <w:numPr>
          <w:ilvl w:val="0"/>
          <w:numId w:val="2"/>
        </w:numPr>
      </w:pPr>
      <w:r>
        <w:t xml:space="preserve">Actieve verwijzende en adviserende rol (gender, kleur, etnische achtergrond, leeftijd) voor benadering historici als spreker in TV programma in ontwikkeling </w:t>
      </w:r>
      <w:r w:rsidRPr="0072236E">
        <w:rPr>
          <w:i/>
        </w:rPr>
        <w:t xml:space="preserve">Het verhaal van Nederland. </w:t>
      </w:r>
    </w:p>
    <w:p w14:paraId="181CBD26" w14:textId="77777777" w:rsidR="0072236E" w:rsidRPr="0072236E" w:rsidRDefault="0072236E" w:rsidP="0072236E">
      <w:pPr>
        <w:rPr>
          <w:rFonts w:asciiTheme="majorHAnsi" w:hAnsiTheme="majorHAnsi" w:cstheme="majorHAnsi"/>
          <w:i/>
          <w:sz w:val="28"/>
        </w:rPr>
      </w:pPr>
      <w:r>
        <w:rPr>
          <w:rFonts w:asciiTheme="majorHAnsi" w:hAnsiTheme="majorHAnsi" w:cstheme="majorHAnsi"/>
          <w:i/>
          <w:sz w:val="28"/>
        </w:rPr>
        <w:t>Concluderend</w:t>
      </w:r>
      <w:r w:rsidR="009C24A6" w:rsidRPr="0072236E">
        <w:rPr>
          <w:rFonts w:asciiTheme="majorHAnsi" w:hAnsiTheme="majorHAnsi" w:cstheme="majorHAnsi"/>
          <w:i/>
          <w:sz w:val="28"/>
        </w:rPr>
        <w:t xml:space="preserve"> </w:t>
      </w:r>
    </w:p>
    <w:p w14:paraId="219123C9" w14:textId="57AF4C22" w:rsidR="009C24A6" w:rsidRDefault="0072236E" w:rsidP="0072236E">
      <w:r>
        <w:t xml:space="preserve">Hoewel het </w:t>
      </w:r>
      <w:r w:rsidR="00DD03C2">
        <w:t xml:space="preserve">KNHG de afgelopen jaren </w:t>
      </w:r>
      <w:r w:rsidR="00C24DC0">
        <w:t xml:space="preserve">geen </w:t>
      </w:r>
      <w:r w:rsidR="0029666E">
        <w:t>officieel</w:t>
      </w:r>
      <w:r w:rsidR="00C24DC0">
        <w:t xml:space="preserve"> </w:t>
      </w:r>
      <w:r w:rsidR="00386F85">
        <w:t xml:space="preserve">beleid m.b.t. </w:t>
      </w:r>
      <w:r w:rsidR="00DD03C2">
        <w:t xml:space="preserve">Diversiteit &amp; Inclusie heeft </w:t>
      </w:r>
      <w:r w:rsidR="00C24DC0">
        <w:t xml:space="preserve">gevoerd, </w:t>
      </w:r>
      <w:r w:rsidR="00DD03C2">
        <w:t xml:space="preserve">is er </w:t>
      </w:r>
      <w:r w:rsidR="00C24DC0">
        <w:t xml:space="preserve">wel aandacht </w:t>
      </w:r>
      <w:r w:rsidR="00DD03C2">
        <w:t xml:space="preserve">geweest voor </w:t>
      </w:r>
      <w:r w:rsidR="00B15A6A">
        <w:t xml:space="preserve">een </w:t>
      </w:r>
      <w:r w:rsidR="00DD03C2">
        <w:t xml:space="preserve">aantal vormen van </w:t>
      </w:r>
      <w:r w:rsidR="00C24DC0">
        <w:t>diversiteit</w:t>
      </w:r>
      <w:r w:rsidR="00DD03C2">
        <w:t>. Dit valt te verklaren uit persoonlijke inzet door bestuurs-, bureau- en redactieleden</w:t>
      </w:r>
      <w:r w:rsidR="00386F85">
        <w:t xml:space="preserve"> en het belang dat zij hechten aan de verschillende vormen van diversiteit</w:t>
      </w:r>
      <w:r w:rsidR="00DD03C2">
        <w:t xml:space="preserve">. </w:t>
      </w:r>
      <w:r w:rsidR="0029666E">
        <w:t xml:space="preserve">Dit onofficiële beleid heeft onder meer geleid tot zichtbare participatie van jonge historici in de vereniging, op congressen en in het tijdschrift, actieve aandacht voor een evenredige vertegenwoordiging van vrouwelijke sprekers en auteurs, gerichte uitnodiging aan bepaalde historici om hun geluid ook bij het KNHG te laten horen en een divers samengesteld bureau en bestuur. </w:t>
      </w:r>
      <w:r w:rsidR="00DD03C2">
        <w:t xml:space="preserve">Het is uit bovenstaand overzicht </w:t>
      </w:r>
      <w:r w:rsidR="00B15A6A">
        <w:t xml:space="preserve">ook duidelijk </w:t>
      </w:r>
      <w:r w:rsidR="00DD03C2">
        <w:t xml:space="preserve">dat een aantal categorieën hierbij </w:t>
      </w:r>
      <w:r w:rsidR="0029666E">
        <w:t>minder aandacht</w:t>
      </w:r>
      <w:r w:rsidR="00DD03C2">
        <w:t xml:space="preserve"> </w:t>
      </w:r>
      <w:r w:rsidR="00B15A6A">
        <w:t>heeft</w:t>
      </w:r>
      <w:r w:rsidR="00DD03C2">
        <w:t xml:space="preserve"> gekregen</w:t>
      </w:r>
      <w:r w:rsidR="0029666E">
        <w:t xml:space="preserve"> op het personele vlak</w:t>
      </w:r>
      <w:r w:rsidR="00DD03C2">
        <w:t>, zoals LHBT</w:t>
      </w:r>
      <w:r w:rsidR="00ED0F4C">
        <w:t>Q</w:t>
      </w:r>
      <w:r w:rsidR="00DD03C2">
        <w:t>I</w:t>
      </w:r>
      <w:r w:rsidR="00ED0F4C">
        <w:t>+</w:t>
      </w:r>
      <w:r w:rsidR="00BB0DCA">
        <w:t>, religie</w:t>
      </w:r>
      <w:r w:rsidR="00DD03C2">
        <w:t xml:space="preserve"> en arbeidsbeperkingen. </w:t>
      </w:r>
      <w:r w:rsidR="00B15A6A">
        <w:t xml:space="preserve">Dit wil niet zeggen dat er ‘niets’ op dit vlak gebeurd is, maar wel dat het </w:t>
      </w:r>
      <w:r w:rsidR="00BB0DCA">
        <w:t xml:space="preserve">geen </w:t>
      </w:r>
      <w:r w:rsidR="00B15A6A">
        <w:t>categorie van bijzondere aandacht was.</w:t>
      </w:r>
      <w:r w:rsidR="0029666E">
        <w:t xml:space="preserve"> Deze categorieën hebben </w:t>
      </w:r>
      <w:r w:rsidR="00AF19B1">
        <w:t xml:space="preserve">overigens </w:t>
      </w:r>
      <w:r w:rsidR="0029666E">
        <w:t>wel de nodige inhoudelijke aandacht gekregen tijdens verschillende congressen.</w:t>
      </w:r>
      <w:r w:rsidR="00B15A6A">
        <w:t xml:space="preserve"> </w:t>
      </w:r>
      <w:r w:rsidR="00DD03C2">
        <w:t xml:space="preserve">Bovendien valt te concluderen dat het merendeel van de ondernomen acties </w:t>
      </w:r>
      <w:r w:rsidR="009C24A6">
        <w:t>in categorie</w:t>
      </w:r>
      <w:r w:rsidR="00824F4F">
        <w:t xml:space="preserve"> </w:t>
      </w:r>
      <w:bookmarkStart w:id="0" w:name="_GoBack"/>
      <w:bookmarkEnd w:id="0"/>
      <w:r w:rsidR="00DD03C2">
        <w:t>maatregelen</w:t>
      </w:r>
      <w:r w:rsidR="009C24A6">
        <w:t xml:space="preserve"> </w:t>
      </w:r>
      <w:r w:rsidR="009C24A6" w:rsidRPr="00DD03C2">
        <w:rPr>
          <w:i/>
        </w:rPr>
        <w:t>fixing the numbers</w:t>
      </w:r>
      <w:r w:rsidR="009C24A6">
        <w:t xml:space="preserve"> en deels in </w:t>
      </w:r>
      <w:r w:rsidR="00DD03C2">
        <w:t xml:space="preserve">de maatregelen </w:t>
      </w:r>
      <w:r w:rsidR="009C24A6" w:rsidRPr="00DD03C2">
        <w:rPr>
          <w:i/>
        </w:rPr>
        <w:t>fixing the knowlegde</w:t>
      </w:r>
      <w:r w:rsidR="00DD03C2">
        <w:t xml:space="preserve"> vallen.</w:t>
      </w:r>
      <w:r w:rsidR="0029666E">
        <w:t xml:space="preserve"> </w:t>
      </w:r>
    </w:p>
    <w:p w14:paraId="5816ACB6" w14:textId="77777777" w:rsidR="009C24A6" w:rsidRPr="006A249F" w:rsidRDefault="00BD0028" w:rsidP="006A249F">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 xml:space="preserve">Beleidsperiode </w:t>
      </w:r>
      <w:r w:rsidR="009C24A6" w:rsidRPr="006A249F">
        <w:rPr>
          <w:rFonts w:asciiTheme="majorHAnsi" w:eastAsiaTheme="majorEastAsia" w:hAnsiTheme="majorHAnsi" w:cstheme="majorBidi"/>
          <w:b/>
          <w:sz w:val="32"/>
          <w:szCs w:val="32"/>
        </w:rPr>
        <w:t>2021-2023</w:t>
      </w:r>
    </w:p>
    <w:p w14:paraId="78ECA206" w14:textId="3E440454" w:rsidR="0060061D" w:rsidRDefault="00386F85" w:rsidP="0060061D">
      <w:r>
        <w:t xml:space="preserve">In de komende drie jaar </w:t>
      </w:r>
      <w:r w:rsidR="0060061D">
        <w:t xml:space="preserve">wil het KNHG als werkgever, als vereniging en uitgever van een wetenschappelijk tijdschrift structurele aandacht hebben en vragen voor diversiteit en inclusie. </w:t>
      </w:r>
      <w:r w:rsidR="00DA3AF2">
        <w:t xml:space="preserve">Hiertoe zal de komende jaren actief worden samengewerkt met de </w:t>
      </w:r>
      <w:r w:rsidR="0029666E">
        <w:t xml:space="preserve">Adviseur Diversiteit </w:t>
      </w:r>
      <w:r w:rsidR="00233940">
        <w:t>&amp;</w:t>
      </w:r>
      <w:r w:rsidR="0029666E">
        <w:t xml:space="preserve"> Inclusie</w:t>
      </w:r>
      <w:r w:rsidR="00DA3AF2">
        <w:t xml:space="preserve"> van de KNAW.</w:t>
      </w:r>
    </w:p>
    <w:p w14:paraId="2910AD34" w14:textId="13EB3B4A" w:rsidR="0060061D" w:rsidRDefault="0060061D" w:rsidP="0060061D">
      <w:r>
        <w:t xml:space="preserve">Dat betekent dat wij aandacht voor de 4 P’s hebben, te weten:  programma (zijnde sprekers tijdens congressen en evenementen), publiek (deelnemers en leden), personeel (bureau, bestuur, redactie) en partners (auteurs, recensenten, </w:t>
      </w:r>
      <w:r w:rsidRPr="000C5014">
        <w:rPr>
          <w:i/>
        </w:rPr>
        <w:t>reviewers</w:t>
      </w:r>
      <w:r>
        <w:t xml:space="preserve"> maar ook samenwerkingspartners voor activiteiten en evenementen). De maatregelen die wij nemen vallen in de categorieën aantallen, </w:t>
      </w:r>
      <w:r w:rsidR="00233940">
        <w:t>houding</w:t>
      </w:r>
      <w:r>
        <w:t xml:space="preserve"> en kennis. Hieronder volgt per P een kort en schematisch overzicht van de te nemen acties.</w:t>
      </w:r>
    </w:p>
    <w:p w14:paraId="5C2717FA" w14:textId="77777777" w:rsidR="00AF19B1" w:rsidRDefault="00AF19B1">
      <w:pPr>
        <w:rPr>
          <w:rFonts w:asciiTheme="majorHAnsi" w:hAnsiTheme="majorHAnsi" w:cstheme="majorHAnsi"/>
          <w:i/>
          <w:sz w:val="28"/>
        </w:rPr>
      </w:pPr>
      <w:r>
        <w:rPr>
          <w:rFonts w:asciiTheme="majorHAnsi" w:hAnsiTheme="majorHAnsi" w:cstheme="majorHAnsi"/>
          <w:i/>
          <w:sz w:val="28"/>
        </w:rPr>
        <w:br w:type="page"/>
      </w:r>
    </w:p>
    <w:p w14:paraId="7FD16274" w14:textId="6448E932" w:rsidR="0060061D" w:rsidRPr="0060061D" w:rsidRDefault="0060061D" w:rsidP="0060061D">
      <w:pPr>
        <w:rPr>
          <w:rFonts w:asciiTheme="majorHAnsi" w:hAnsiTheme="majorHAnsi" w:cstheme="majorHAnsi"/>
          <w:i/>
          <w:sz w:val="28"/>
        </w:rPr>
      </w:pPr>
      <w:r w:rsidRPr="0060061D">
        <w:rPr>
          <w:rFonts w:asciiTheme="majorHAnsi" w:hAnsiTheme="majorHAnsi" w:cstheme="majorHAnsi"/>
          <w:i/>
          <w:sz w:val="28"/>
        </w:rPr>
        <w:lastRenderedPageBreak/>
        <w:t>Programma</w:t>
      </w:r>
    </w:p>
    <w:tbl>
      <w:tblPr>
        <w:tblStyle w:val="Tabelraster"/>
        <w:tblW w:w="0" w:type="auto"/>
        <w:tblLook w:val="04A0" w:firstRow="1" w:lastRow="0" w:firstColumn="1" w:lastColumn="0" w:noHBand="0" w:noVBand="1"/>
      </w:tblPr>
      <w:tblGrid>
        <w:gridCol w:w="2556"/>
        <w:gridCol w:w="2192"/>
        <w:gridCol w:w="2110"/>
        <w:gridCol w:w="2158"/>
      </w:tblGrid>
      <w:tr w:rsidR="0060061D" w14:paraId="0FEE2D97" w14:textId="77777777" w:rsidTr="0060061D">
        <w:tc>
          <w:tcPr>
            <w:tcW w:w="2556" w:type="dxa"/>
          </w:tcPr>
          <w:p w14:paraId="1EBAEFAF" w14:textId="77777777" w:rsidR="0060061D" w:rsidRDefault="0060061D" w:rsidP="0060061D"/>
        </w:tc>
        <w:tc>
          <w:tcPr>
            <w:tcW w:w="2192" w:type="dxa"/>
          </w:tcPr>
          <w:p w14:paraId="0489C3A7" w14:textId="77777777" w:rsidR="0060061D" w:rsidRPr="0060061D" w:rsidRDefault="0060061D" w:rsidP="0060061D">
            <w:pPr>
              <w:rPr>
                <w:i/>
              </w:rPr>
            </w:pPr>
            <w:r w:rsidRPr="0060061D">
              <w:rPr>
                <w:i/>
              </w:rPr>
              <w:t>Fixing the numbers</w:t>
            </w:r>
          </w:p>
        </w:tc>
        <w:tc>
          <w:tcPr>
            <w:tcW w:w="2110" w:type="dxa"/>
          </w:tcPr>
          <w:p w14:paraId="34237E30" w14:textId="77777777" w:rsidR="0060061D" w:rsidRPr="0060061D" w:rsidRDefault="0060061D" w:rsidP="0060061D">
            <w:pPr>
              <w:rPr>
                <w:i/>
              </w:rPr>
            </w:pPr>
            <w:r w:rsidRPr="0060061D">
              <w:rPr>
                <w:i/>
              </w:rPr>
              <w:t>Fixing the institution</w:t>
            </w:r>
          </w:p>
        </w:tc>
        <w:tc>
          <w:tcPr>
            <w:tcW w:w="2158" w:type="dxa"/>
          </w:tcPr>
          <w:p w14:paraId="50ACCAD5" w14:textId="77777777" w:rsidR="0060061D" w:rsidRPr="0060061D" w:rsidRDefault="0060061D" w:rsidP="0060061D">
            <w:pPr>
              <w:rPr>
                <w:i/>
              </w:rPr>
            </w:pPr>
            <w:r w:rsidRPr="0060061D">
              <w:rPr>
                <w:i/>
              </w:rPr>
              <w:t>Fixing the knowlegde</w:t>
            </w:r>
          </w:p>
        </w:tc>
      </w:tr>
      <w:tr w:rsidR="0060061D" w14:paraId="6BA79AE5" w14:textId="77777777" w:rsidTr="0060061D">
        <w:tc>
          <w:tcPr>
            <w:tcW w:w="2556" w:type="dxa"/>
          </w:tcPr>
          <w:p w14:paraId="3F57B606" w14:textId="77777777" w:rsidR="0060061D" w:rsidRDefault="0060061D" w:rsidP="0060061D">
            <w:r>
              <w:t>Sprekers congressen/evenementen</w:t>
            </w:r>
          </w:p>
        </w:tc>
        <w:tc>
          <w:tcPr>
            <w:tcW w:w="2192" w:type="dxa"/>
          </w:tcPr>
          <w:p w14:paraId="22EED88D" w14:textId="77777777" w:rsidR="0060061D" w:rsidRDefault="00066E4A" w:rsidP="0060061D">
            <w:r>
              <w:t>Actief zoeken naar diversiteit</w:t>
            </w:r>
          </w:p>
        </w:tc>
        <w:tc>
          <w:tcPr>
            <w:tcW w:w="2110" w:type="dxa"/>
          </w:tcPr>
          <w:p w14:paraId="3FF660EE" w14:textId="37875BD0" w:rsidR="0060061D" w:rsidRDefault="0029666E" w:rsidP="0060061D">
            <w:r>
              <w:t>Podium bieden aan divers talent</w:t>
            </w:r>
            <w:r w:rsidR="001C2E93">
              <w:t xml:space="preserve"> op allerlei vlakken</w:t>
            </w:r>
          </w:p>
        </w:tc>
        <w:tc>
          <w:tcPr>
            <w:tcW w:w="2158" w:type="dxa"/>
          </w:tcPr>
          <w:p w14:paraId="69F15DC7" w14:textId="03DE70CC" w:rsidR="0060061D" w:rsidRDefault="0029666E" w:rsidP="0060061D">
            <w:r>
              <w:t>Bewustwording van divers talent en hun input even waardig meenemen</w:t>
            </w:r>
          </w:p>
        </w:tc>
      </w:tr>
    </w:tbl>
    <w:p w14:paraId="17EE29D9" w14:textId="77777777" w:rsidR="0060061D" w:rsidRDefault="0060061D"/>
    <w:p w14:paraId="26C8179D" w14:textId="77777777" w:rsidR="0060061D" w:rsidRDefault="0060061D" w:rsidP="0060061D">
      <w:pPr>
        <w:rPr>
          <w:rFonts w:asciiTheme="majorHAnsi" w:hAnsiTheme="majorHAnsi" w:cstheme="majorHAnsi"/>
          <w:i/>
          <w:sz w:val="28"/>
        </w:rPr>
      </w:pPr>
      <w:r>
        <w:rPr>
          <w:rFonts w:asciiTheme="majorHAnsi" w:hAnsiTheme="majorHAnsi" w:cstheme="majorHAnsi"/>
          <w:i/>
          <w:sz w:val="28"/>
        </w:rPr>
        <w:t>Publiek</w:t>
      </w:r>
    </w:p>
    <w:tbl>
      <w:tblPr>
        <w:tblStyle w:val="Tabelraster"/>
        <w:tblW w:w="0" w:type="auto"/>
        <w:tblLook w:val="04A0" w:firstRow="1" w:lastRow="0" w:firstColumn="1" w:lastColumn="0" w:noHBand="0" w:noVBand="1"/>
      </w:tblPr>
      <w:tblGrid>
        <w:gridCol w:w="2556"/>
        <w:gridCol w:w="2192"/>
        <w:gridCol w:w="2110"/>
        <w:gridCol w:w="2158"/>
      </w:tblGrid>
      <w:tr w:rsidR="00DA3AF2" w:rsidRPr="0060061D" w14:paraId="367B3E41" w14:textId="77777777" w:rsidTr="00DA3AF2">
        <w:tc>
          <w:tcPr>
            <w:tcW w:w="2556" w:type="dxa"/>
          </w:tcPr>
          <w:p w14:paraId="653EBB33" w14:textId="77777777" w:rsidR="00DA3AF2" w:rsidRDefault="00DA3AF2" w:rsidP="00B65B8C"/>
        </w:tc>
        <w:tc>
          <w:tcPr>
            <w:tcW w:w="2192" w:type="dxa"/>
          </w:tcPr>
          <w:p w14:paraId="32A07336" w14:textId="77777777" w:rsidR="00DA3AF2" w:rsidRPr="0060061D" w:rsidRDefault="00DA3AF2" w:rsidP="00B65B8C">
            <w:pPr>
              <w:rPr>
                <w:i/>
              </w:rPr>
            </w:pPr>
            <w:r w:rsidRPr="0060061D">
              <w:rPr>
                <w:i/>
              </w:rPr>
              <w:t>Fixing the numbers</w:t>
            </w:r>
          </w:p>
        </w:tc>
        <w:tc>
          <w:tcPr>
            <w:tcW w:w="2110" w:type="dxa"/>
          </w:tcPr>
          <w:p w14:paraId="5070B6BB" w14:textId="77777777" w:rsidR="00DA3AF2" w:rsidRPr="0060061D" w:rsidRDefault="00DA3AF2" w:rsidP="00B65B8C">
            <w:pPr>
              <w:rPr>
                <w:i/>
              </w:rPr>
            </w:pPr>
            <w:r w:rsidRPr="0060061D">
              <w:rPr>
                <w:i/>
              </w:rPr>
              <w:t>Fixing the institution</w:t>
            </w:r>
          </w:p>
        </w:tc>
        <w:tc>
          <w:tcPr>
            <w:tcW w:w="2158" w:type="dxa"/>
          </w:tcPr>
          <w:p w14:paraId="0F1F1527" w14:textId="77777777" w:rsidR="00DA3AF2" w:rsidRPr="0060061D" w:rsidRDefault="00DA3AF2" w:rsidP="00B65B8C">
            <w:pPr>
              <w:rPr>
                <w:i/>
              </w:rPr>
            </w:pPr>
            <w:r w:rsidRPr="0060061D">
              <w:rPr>
                <w:i/>
              </w:rPr>
              <w:t>Fixing the knowlegde</w:t>
            </w:r>
          </w:p>
        </w:tc>
      </w:tr>
      <w:tr w:rsidR="0060061D" w14:paraId="7532E0C5" w14:textId="77777777" w:rsidTr="0060061D">
        <w:tc>
          <w:tcPr>
            <w:tcW w:w="2556" w:type="dxa"/>
          </w:tcPr>
          <w:p w14:paraId="31100939" w14:textId="77777777" w:rsidR="0060061D" w:rsidRDefault="0060061D" w:rsidP="0060061D">
            <w:r>
              <w:t>Deelnemers congressen</w:t>
            </w:r>
          </w:p>
        </w:tc>
        <w:tc>
          <w:tcPr>
            <w:tcW w:w="2192" w:type="dxa"/>
          </w:tcPr>
          <w:p w14:paraId="4F3E9FBB" w14:textId="77777777" w:rsidR="0060061D" w:rsidRDefault="00066E4A" w:rsidP="0060061D">
            <w:r>
              <w:t>Actief werven</w:t>
            </w:r>
          </w:p>
        </w:tc>
        <w:tc>
          <w:tcPr>
            <w:tcW w:w="2110" w:type="dxa"/>
          </w:tcPr>
          <w:p w14:paraId="3082A279" w14:textId="16DBE263" w:rsidR="0060061D" w:rsidRDefault="001C2E93" w:rsidP="0060061D">
            <w:r>
              <w:t>Programma zo opstellen dat het interessant is voor verschillende categorieen – dus bewustwording wie waar over spreekt</w:t>
            </w:r>
          </w:p>
        </w:tc>
        <w:tc>
          <w:tcPr>
            <w:tcW w:w="2158" w:type="dxa"/>
          </w:tcPr>
          <w:p w14:paraId="1E9FD81F" w14:textId="77777777" w:rsidR="0060061D" w:rsidRDefault="0060061D" w:rsidP="0060061D">
            <w:r>
              <w:t>Mogelijk onderzoek ttv Historicidagen 2022 onder deelnemers</w:t>
            </w:r>
          </w:p>
        </w:tc>
      </w:tr>
      <w:tr w:rsidR="00066E4A" w14:paraId="11A9ADC6" w14:textId="77777777" w:rsidTr="0060061D">
        <w:tc>
          <w:tcPr>
            <w:tcW w:w="2556" w:type="dxa"/>
          </w:tcPr>
          <w:p w14:paraId="3BE5D8A8" w14:textId="77777777" w:rsidR="00066E4A" w:rsidRDefault="00066E4A" w:rsidP="0060061D">
            <w:r>
              <w:t>Leden (incl senior en Jong KNHG)</w:t>
            </w:r>
          </w:p>
        </w:tc>
        <w:tc>
          <w:tcPr>
            <w:tcW w:w="2192" w:type="dxa"/>
          </w:tcPr>
          <w:p w14:paraId="7BB57EDE" w14:textId="77777777" w:rsidR="00066E4A" w:rsidRDefault="00066E4A" w:rsidP="0060061D">
            <w:r>
              <w:t>Rolmodellen inzetten</w:t>
            </w:r>
          </w:p>
        </w:tc>
        <w:tc>
          <w:tcPr>
            <w:tcW w:w="2110" w:type="dxa"/>
          </w:tcPr>
          <w:p w14:paraId="7CD102AE" w14:textId="77777777" w:rsidR="00066E4A" w:rsidRDefault="00066E4A" w:rsidP="0060061D"/>
        </w:tc>
        <w:tc>
          <w:tcPr>
            <w:tcW w:w="2158" w:type="dxa"/>
          </w:tcPr>
          <w:p w14:paraId="7960CD1C" w14:textId="77777777" w:rsidR="00066E4A" w:rsidRDefault="00066E4A" w:rsidP="0060061D">
            <w:r>
              <w:t>Mogelijk onderzoek onder leden naar diversiteit (a la RHS)</w:t>
            </w:r>
          </w:p>
        </w:tc>
      </w:tr>
    </w:tbl>
    <w:p w14:paraId="357C4F7C" w14:textId="77777777" w:rsidR="0060061D" w:rsidRDefault="0060061D"/>
    <w:p w14:paraId="7D02179E" w14:textId="77777777" w:rsidR="0060061D" w:rsidRPr="0060061D" w:rsidRDefault="0060061D">
      <w:pPr>
        <w:rPr>
          <w:rFonts w:asciiTheme="majorHAnsi" w:hAnsiTheme="majorHAnsi" w:cstheme="majorHAnsi"/>
          <w:i/>
          <w:sz w:val="28"/>
        </w:rPr>
      </w:pPr>
      <w:r w:rsidRPr="0060061D">
        <w:rPr>
          <w:rFonts w:asciiTheme="majorHAnsi" w:hAnsiTheme="majorHAnsi" w:cstheme="majorHAnsi"/>
          <w:i/>
          <w:sz w:val="28"/>
        </w:rPr>
        <w:t>Personeel</w:t>
      </w:r>
    </w:p>
    <w:tbl>
      <w:tblPr>
        <w:tblStyle w:val="Tabelraster"/>
        <w:tblW w:w="0" w:type="auto"/>
        <w:tblLook w:val="04A0" w:firstRow="1" w:lastRow="0" w:firstColumn="1" w:lastColumn="0" w:noHBand="0" w:noVBand="1"/>
      </w:tblPr>
      <w:tblGrid>
        <w:gridCol w:w="2254"/>
        <w:gridCol w:w="2254"/>
        <w:gridCol w:w="2254"/>
        <w:gridCol w:w="2254"/>
      </w:tblGrid>
      <w:tr w:rsidR="00DA3AF2" w14:paraId="19148A2E" w14:textId="77777777" w:rsidTr="0060061D">
        <w:tc>
          <w:tcPr>
            <w:tcW w:w="2254" w:type="dxa"/>
          </w:tcPr>
          <w:p w14:paraId="545104DA" w14:textId="77777777" w:rsidR="0060061D" w:rsidRDefault="0060061D" w:rsidP="0060061D"/>
        </w:tc>
        <w:tc>
          <w:tcPr>
            <w:tcW w:w="2254" w:type="dxa"/>
          </w:tcPr>
          <w:p w14:paraId="43341429" w14:textId="77777777" w:rsidR="0060061D" w:rsidRPr="0060061D" w:rsidRDefault="0060061D" w:rsidP="0060061D">
            <w:pPr>
              <w:rPr>
                <w:i/>
              </w:rPr>
            </w:pPr>
            <w:r w:rsidRPr="0060061D">
              <w:rPr>
                <w:i/>
              </w:rPr>
              <w:t>Fixing the numbers</w:t>
            </w:r>
          </w:p>
        </w:tc>
        <w:tc>
          <w:tcPr>
            <w:tcW w:w="2254" w:type="dxa"/>
          </w:tcPr>
          <w:p w14:paraId="3FF63120" w14:textId="77777777" w:rsidR="0060061D" w:rsidRPr="0060061D" w:rsidRDefault="0060061D" w:rsidP="0060061D">
            <w:pPr>
              <w:rPr>
                <w:i/>
              </w:rPr>
            </w:pPr>
            <w:r w:rsidRPr="0060061D">
              <w:rPr>
                <w:i/>
              </w:rPr>
              <w:t>Fixing the institution</w:t>
            </w:r>
          </w:p>
        </w:tc>
        <w:tc>
          <w:tcPr>
            <w:tcW w:w="2254" w:type="dxa"/>
          </w:tcPr>
          <w:p w14:paraId="62C7765C" w14:textId="77777777" w:rsidR="0060061D" w:rsidRPr="0060061D" w:rsidRDefault="0060061D" w:rsidP="0060061D">
            <w:pPr>
              <w:rPr>
                <w:i/>
              </w:rPr>
            </w:pPr>
            <w:r w:rsidRPr="0060061D">
              <w:rPr>
                <w:i/>
              </w:rPr>
              <w:t>Fixing the knowlegde</w:t>
            </w:r>
          </w:p>
        </w:tc>
      </w:tr>
      <w:tr w:rsidR="00DA3AF2" w14:paraId="6333A5A6" w14:textId="77777777" w:rsidTr="0060061D">
        <w:tc>
          <w:tcPr>
            <w:tcW w:w="2254" w:type="dxa"/>
          </w:tcPr>
          <w:p w14:paraId="4405C99F" w14:textId="77777777" w:rsidR="0060061D" w:rsidRDefault="0060061D" w:rsidP="0060061D">
            <w:r>
              <w:t>Redactie</w:t>
            </w:r>
          </w:p>
        </w:tc>
        <w:tc>
          <w:tcPr>
            <w:tcW w:w="2254" w:type="dxa"/>
          </w:tcPr>
          <w:p w14:paraId="2D14BA78" w14:textId="77777777" w:rsidR="00066E4A" w:rsidRDefault="00066E4A" w:rsidP="00066E4A">
            <w:r>
              <w:t>- Actief zoeken</w:t>
            </w:r>
          </w:p>
          <w:p w14:paraId="0F42620B" w14:textId="77777777" w:rsidR="00066E4A" w:rsidRDefault="00066E4A" w:rsidP="00066E4A">
            <w:r>
              <w:t>-Zichtbaarheid vergroten:</w:t>
            </w:r>
          </w:p>
          <w:p w14:paraId="00B7E850" w14:textId="77777777" w:rsidR="0060061D" w:rsidRDefault="00066E4A" w:rsidP="00DA3AF2">
            <w:r>
              <w:t>*presentatie op website met foto</w:t>
            </w:r>
          </w:p>
          <w:p w14:paraId="2A57EDE6" w14:textId="77777777" w:rsidR="00DA3AF2" w:rsidRDefault="00DA3AF2" w:rsidP="00DA3AF2"/>
        </w:tc>
        <w:tc>
          <w:tcPr>
            <w:tcW w:w="2254" w:type="dxa"/>
          </w:tcPr>
          <w:p w14:paraId="0A4E6A2C" w14:textId="77777777" w:rsidR="0060061D" w:rsidRDefault="0060061D" w:rsidP="0060061D"/>
        </w:tc>
        <w:tc>
          <w:tcPr>
            <w:tcW w:w="2254" w:type="dxa"/>
          </w:tcPr>
          <w:p w14:paraId="7D4BE240" w14:textId="77777777" w:rsidR="0060061D" w:rsidRDefault="0060061D" w:rsidP="0060061D"/>
        </w:tc>
      </w:tr>
      <w:tr w:rsidR="00DA3AF2" w14:paraId="17290057" w14:textId="77777777" w:rsidTr="0060061D">
        <w:tc>
          <w:tcPr>
            <w:tcW w:w="2254" w:type="dxa"/>
          </w:tcPr>
          <w:p w14:paraId="4F66C538" w14:textId="77777777" w:rsidR="0060061D" w:rsidRDefault="0060061D" w:rsidP="0060061D">
            <w:r>
              <w:t>Bureau</w:t>
            </w:r>
          </w:p>
        </w:tc>
        <w:tc>
          <w:tcPr>
            <w:tcW w:w="2254" w:type="dxa"/>
          </w:tcPr>
          <w:p w14:paraId="34A8CF1C" w14:textId="77777777" w:rsidR="00DA3AF2" w:rsidRDefault="00DA3AF2" w:rsidP="00DA3AF2">
            <w:r>
              <w:t>- Actief zoeken</w:t>
            </w:r>
          </w:p>
          <w:p w14:paraId="4B1E2FE0" w14:textId="77777777" w:rsidR="00DA3AF2" w:rsidRDefault="00DA3AF2" w:rsidP="00DA3AF2">
            <w:r>
              <w:t>-Zichtbaarheid vergroten:</w:t>
            </w:r>
          </w:p>
          <w:p w14:paraId="601F81E2" w14:textId="77777777" w:rsidR="00DA3AF2" w:rsidRDefault="00DA3AF2" w:rsidP="00DA3AF2">
            <w:r>
              <w:t>*presentatie op website met foto</w:t>
            </w:r>
            <w:r>
              <w:br/>
              <w:t>*rol op congressen</w:t>
            </w:r>
          </w:p>
          <w:p w14:paraId="33C6AF51" w14:textId="77777777" w:rsidR="0060061D" w:rsidRDefault="0060061D" w:rsidP="0060061D"/>
        </w:tc>
        <w:tc>
          <w:tcPr>
            <w:tcW w:w="2254" w:type="dxa"/>
          </w:tcPr>
          <w:p w14:paraId="684085B3" w14:textId="77777777" w:rsidR="00DA3AF2" w:rsidRDefault="00DA3AF2" w:rsidP="00066E4A">
            <w:r>
              <w:t>-</w:t>
            </w:r>
            <w:r w:rsidR="00066E4A">
              <w:t>W</w:t>
            </w:r>
            <w:r>
              <w:t>ervingsteksten anders opstellen</w:t>
            </w:r>
          </w:p>
          <w:p w14:paraId="0BAFF406" w14:textId="77777777" w:rsidR="0060061D" w:rsidRDefault="00DA3AF2" w:rsidP="00066E4A">
            <w:r>
              <w:t>-</w:t>
            </w:r>
            <w:r w:rsidR="00066E4A">
              <w:t>andere wervingskanalen aanboren</w:t>
            </w:r>
          </w:p>
          <w:p w14:paraId="2FA08DF0" w14:textId="77777777" w:rsidR="001C2E93" w:rsidRDefault="001C2E93" w:rsidP="00066E4A"/>
          <w:p w14:paraId="0E56049D" w14:textId="4FFBEDF7" w:rsidR="001C2E93" w:rsidRDefault="001C2E93" w:rsidP="001C2E93">
            <w:pPr>
              <w:pStyle w:val="Lijstalinea"/>
              <w:numPr>
                <w:ilvl w:val="0"/>
                <w:numId w:val="17"/>
              </w:numPr>
            </w:pPr>
            <w:r>
              <w:t>Workshop voor vaste medewerkers mbt begeleiding divers talent (ism Adviseur D&amp;I KNAW)</w:t>
            </w:r>
          </w:p>
        </w:tc>
        <w:tc>
          <w:tcPr>
            <w:tcW w:w="2254" w:type="dxa"/>
          </w:tcPr>
          <w:p w14:paraId="14FBB3AF" w14:textId="77777777" w:rsidR="0060061D" w:rsidRDefault="0060061D" w:rsidP="0060061D"/>
        </w:tc>
      </w:tr>
      <w:tr w:rsidR="00DA3AF2" w14:paraId="1731E7BE" w14:textId="77777777" w:rsidTr="0060061D">
        <w:tc>
          <w:tcPr>
            <w:tcW w:w="2254" w:type="dxa"/>
          </w:tcPr>
          <w:p w14:paraId="1AFED330" w14:textId="77777777" w:rsidR="00DA3AF2" w:rsidRDefault="00DA3AF2" w:rsidP="00DA3AF2">
            <w:r>
              <w:t>Jong KNHG</w:t>
            </w:r>
          </w:p>
        </w:tc>
        <w:tc>
          <w:tcPr>
            <w:tcW w:w="2254" w:type="dxa"/>
          </w:tcPr>
          <w:p w14:paraId="3CF89A26" w14:textId="77777777" w:rsidR="00DA3AF2" w:rsidRDefault="00DA3AF2" w:rsidP="00DA3AF2">
            <w:r>
              <w:t>- Actief zoeken</w:t>
            </w:r>
          </w:p>
          <w:p w14:paraId="283E891C" w14:textId="77777777" w:rsidR="00DA3AF2" w:rsidRDefault="00DA3AF2" w:rsidP="00DA3AF2">
            <w:r>
              <w:t>-Zichtbaarheid vergroten:</w:t>
            </w:r>
          </w:p>
          <w:p w14:paraId="021EC0D5" w14:textId="77777777" w:rsidR="00DA3AF2" w:rsidRDefault="00DA3AF2" w:rsidP="00DA3AF2">
            <w:r>
              <w:lastRenderedPageBreak/>
              <w:t>*presentatie op website met foto</w:t>
            </w:r>
            <w:r>
              <w:br/>
              <w:t>*rol op congressen</w:t>
            </w:r>
          </w:p>
          <w:p w14:paraId="70D84DB2" w14:textId="77777777" w:rsidR="00DA3AF2" w:rsidRDefault="00DA3AF2" w:rsidP="00DA3AF2"/>
        </w:tc>
        <w:tc>
          <w:tcPr>
            <w:tcW w:w="2254" w:type="dxa"/>
          </w:tcPr>
          <w:p w14:paraId="352986D9" w14:textId="77777777" w:rsidR="00DA3AF2" w:rsidRDefault="00DA3AF2" w:rsidP="00DA3AF2">
            <w:r>
              <w:lastRenderedPageBreak/>
              <w:t>Workshop/training Diversiteit/Inclusie incl. begeleiding</w:t>
            </w:r>
          </w:p>
        </w:tc>
        <w:tc>
          <w:tcPr>
            <w:tcW w:w="2254" w:type="dxa"/>
          </w:tcPr>
          <w:p w14:paraId="152713DE" w14:textId="65A13633" w:rsidR="00DA3AF2" w:rsidRDefault="001C2E93" w:rsidP="00DA3AF2">
            <w:r>
              <w:t>Aan laten sluiten bij Strategische Agenda KNAW/wetenschap van de Toekomst</w:t>
            </w:r>
          </w:p>
        </w:tc>
      </w:tr>
      <w:tr w:rsidR="00DA3AF2" w14:paraId="7AA658C7" w14:textId="77777777" w:rsidTr="00066E4A">
        <w:tc>
          <w:tcPr>
            <w:tcW w:w="2254" w:type="dxa"/>
          </w:tcPr>
          <w:p w14:paraId="7094316C" w14:textId="77777777" w:rsidR="00DA3AF2" w:rsidRDefault="00EE6138" w:rsidP="00DA3AF2">
            <w:r>
              <w:t>Vrijwilligers/sta</w:t>
            </w:r>
            <w:r w:rsidR="00DA3AF2">
              <w:t>giaires</w:t>
            </w:r>
          </w:p>
        </w:tc>
        <w:tc>
          <w:tcPr>
            <w:tcW w:w="2254" w:type="dxa"/>
          </w:tcPr>
          <w:p w14:paraId="0038EE6E" w14:textId="77777777" w:rsidR="00DA3AF2" w:rsidRDefault="00DA3AF2" w:rsidP="00DA3AF2">
            <w:r>
              <w:t>- Actief zoeken</w:t>
            </w:r>
          </w:p>
          <w:p w14:paraId="231F9E8C" w14:textId="77777777" w:rsidR="00DA3AF2" w:rsidRDefault="00DA3AF2" w:rsidP="00DA3AF2">
            <w:r>
              <w:t>-Zichtbaarheid vergroten:</w:t>
            </w:r>
          </w:p>
          <w:p w14:paraId="0F121743" w14:textId="77777777" w:rsidR="00DA3AF2" w:rsidRDefault="00DA3AF2" w:rsidP="00DA3AF2">
            <w:r>
              <w:t>*presentatie op website met foto</w:t>
            </w:r>
            <w:r>
              <w:br/>
            </w:r>
          </w:p>
          <w:p w14:paraId="44132242" w14:textId="77777777" w:rsidR="00DA3AF2" w:rsidRDefault="00DA3AF2" w:rsidP="00DA3AF2"/>
        </w:tc>
        <w:tc>
          <w:tcPr>
            <w:tcW w:w="2254" w:type="dxa"/>
          </w:tcPr>
          <w:p w14:paraId="2D160B4E" w14:textId="77777777" w:rsidR="00DA3AF2" w:rsidRDefault="00DA3AF2" w:rsidP="00DA3AF2">
            <w:r>
              <w:t>-Teksten anders opstellen?</w:t>
            </w:r>
          </w:p>
          <w:p w14:paraId="41BC7432" w14:textId="77777777" w:rsidR="00DA3AF2" w:rsidRDefault="00DA3AF2" w:rsidP="00DA3AF2">
            <w:r>
              <w:t>-Andere wervingskanalen inzetten</w:t>
            </w:r>
          </w:p>
          <w:p w14:paraId="75C2793A" w14:textId="62AEB034" w:rsidR="00DA3AF2" w:rsidRDefault="00DA3AF2" w:rsidP="00DA3AF2">
            <w:r>
              <w:t xml:space="preserve">-Workshop/training begeleiders </w:t>
            </w:r>
            <w:r w:rsidR="001C2E93">
              <w:t>(= team vaste medewerkers)</w:t>
            </w:r>
          </w:p>
        </w:tc>
        <w:tc>
          <w:tcPr>
            <w:tcW w:w="2254" w:type="dxa"/>
          </w:tcPr>
          <w:p w14:paraId="40B1A8D2" w14:textId="77777777" w:rsidR="00DA3AF2" w:rsidRDefault="00DA3AF2" w:rsidP="00DA3AF2"/>
        </w:tc>
      </w:tr>
    </w:tbl>
    <w:p w14:paraId="5AA8B7FD" w14:textId="77777777" w:rsidR="0060061D" w:rsidRDefault="0060061D" w:rsidP="0060061D"/>
    <w:p w14:paraId="15A73BC1" w14:textId="161EA12D" w:rsidR="00066E4A" w:rsidRPr="00066E4A" w:rsidRDefault="00066E4A" w:rsidP="0060061D">
      <w:pPr>
        <w:rPr>
          <w:rFonts w:asciiTheme="majorHAnsi" w:hAnsiTheme="majorHAnsi" w:cstheme="majorHAnsi"/>
          <w:i/>
          <w:sz w:val="28"/>
        </w:rPr>
      </w:pPr>
      <w:r w:rsidRPr="00066E4A">
        <w:rPr>
          <w:rFonts w:asciiTheme="majorHAnsi" w:hAnsiTheme="majorHAnsi" w:cstheme="majorHAnsi"/>
          <w:i/>
          <w:sz w:val="28"/>
        </w:rPr>
        <w:t>Partners</w:t>
      </w:r>
    </w:p>
    <w:tbl>
      <w:tblPr>
        <w:tblStyle w:val="Tabelraster"/>
        <w:tblW w:w="0" w:type="auto"/>
        <w:tblLook w:val="04A0" w:firstRow="1" w:lastRow="0" w:firstColumn="1" w:lastColumn="0" w:noHBand="0" w:noVBand="1"/>
      </w:tblPr>
      <w:tblGrid>
        <w:gridCol w:w="2254"/>
        <w:gridCol w:w="2254"/>
        <w:gridCol w:w="2254"/>
        <w:gridCol w:w="2254"/>
      </w:tblGrid>
      <w:tr w:rsidR="00DA3AF2" w14:paraId="51CB987F" w14:textId="77777777" w:rsidTr="00DA3AF2">
        <w:tc>
          <w:tcPr>
            <w:tcW w:w="2254" w:type="dxa"/>
          </w:tcPr>
          <w:p w14:paraId="4BAC2298" w14:textId="77777777" w:rsidR="00DA3AF2" w:rsidRDefault="00DA3AF2" w:rsidP="00DA3AF2"/>
        </w:tc>
        <w:tc>
          <w:tcPr>
            <w:tcW w:w="2254" w:type="dxa"/>
          </w:tcPr>
          <w:p w14:paraId="25B80600" w14:textId="77777777" w:rsidR="00DA3AF2" w:rsidRPr="0060061D" w:rsidRDefault="00DA3AF2" w:rsidP="00DA3AF2">
            <w:pPr>
              <w:rPr>
                <w:i/>
              </w:rPr>
            </w:pPr>
            <w:r w:rsidRPr="0060061D">
              <w:rPr>
                <w:i/>
              </w:rPr>
              <w:t>Fixing the numbers</w:t>
            </w:r>
          </w:p>
        </w:tc>
        <w:tc>
          <w:tcPr>
            <w:tcW w:w="2254" w:type="dxa"/>
          </w:tcPr>
          <w:p w14:paraId="1FCAED3E" w14:textId="77777777" w:rsidR="00DA3AF2" w:rsidRPr="0060061D" w:rsidRDefault="00DA3AF2" w:rsidP="00DA3AF2">
            <w:pPr>
              <w:rPr>
                <w:i/>
              </w:rPr>
            </w:pPr>
            <w:r w:rsidRPr="0060061D">
              <w:rPr>
                <w:i/>
              </w:rPr>
              <w:t>Fixing the institution</w:t>
            </w:r>
          </w:p>
        </w:tc>
        <w:tc>
          <w:tcPr>
            <w:tcW w:w="2254" w:type="dxa"/>
          </w:tcPr>
          <w:p w14:paraId="46FC22B0" w14:textId="77777777" w:rsidR="00DA3AF2" w:rsidRPr="0060061D" w:rsidRDefault="00DA3AF2" w:rsidP="00DA3AF2">
            <w:pPr>
              <w:rPr>
                <w:i/>
              </w:rPr>
            </w:pPr>
            <w:r w:rsidRPr="0060061D">
              <w:rPr>
                <w:i/>
              </w:rPr>
              <w:t>Fixing the knowlegde</w:t>
            </w:r>
          </w:p>
        </w:tc>
      </w:tr>
      <w:tr w:rsidR="00DA3AF2" w14:paraId="7A28F789" w14:textId="77777777" w:rsidTr="00DA3AF2">
        <w:tc>
          <w:tcPr>
            <w:tcW w:w="2254" w:type="dxa"/>
          </w:tcPr>
          <w:p w14:paraId="0AA622D2" w14:textId="77777777" w:rsidR="00DA3AF2" w:rsidRDefault="00DA3AF2" w:rsidP="00DA3AF2">
            <w:r>
              <w:t>Auteurs</w:t>
            </w:r>
          </w:p>
        </w:tc>
        <w:tc>
          <w:tcPr>
            <w:tcW w:w="2254" w:type="dxa"/>
          </w:tcPr>
          <w:p w14:paraId="22928E3C" w14:textId="77777777" w:rsidR="00DA3AF2" w:rsidRDefault="00DA3AF2" w:rsidP="00DA3AF2">
            <w:r>
              <w:t>Zorgen voor goede spreiding per nummer – continue proces</w:t>
            </w:r>
          </w:p>
          <w:p w14:paraId="6B675342" w14:textId="77777777" w:rsidR="00DA3AF2" w:rsidRDefault="00DA3AF2" w:rsidP="00DA3AF2"/>
          <w:p w14:paraId="75F20568" w14:textId="77777777" w:rsidR="00DA3AF2" w:rsidRDefault="00DA3AF2" w:rsidP="00DA3AF2">
            <w:r>
              <w:t>(leeftijd, gender, herkomst, etc)</w:t>
            </w:r>
          </w:p>
        </w:tc>
        <w:tc>
          <w:tcPr>
            <w:tcW w:w="2254" w:type="dxa"/>
          </w:tcPr>
          <w:p w14:paraId="60C65F7D" w14:textId="77777777" w:rsidR="00DA3AF2" w:rsidRDefault="00DA3AF2" w:rsidP="00DA3AF2"/>
        </w:tc>
        <w:tc>
          <w:tcPr>
            <w:tcW w:w="2254" w:type="dxa"/>
          </w:tcPr>
          <w:p w14:paraId="354A303A" w14:textId="77777777" w:rsidR="00DA3AF2" w:rsidRDefault="00DA3AF2" w:rsidP="00DA3AF2">
            <w:r>
              <w:t>Onderzoek blijven doen na iedere jaargang</w:t>
            </w:r>
          </w:p>
        </w:tc>
      </w:tr>
      <w:tr w:rsidR="00DA3AF2" w14:paraId="60DF86E2" w14:textId="77777777" w:rsidTr="00DA3AF2">
        <w:tc>
          <w:tcPr>
            <w:tcW w:w="2254" w:type="dxa"/>
          </w:tcPr>
          <w:p w14:paraId="10AD3424" w14:textId="77777777" w:rsidR="00DA3AF2" w:rsidRDefault="00DA3AF2" w:rsidP="00DA3AF2">
            <w:r>
              <w:t>Reviewers</w:t>
            </w:r>
          </w:p>
        </w:tc>
        <w:tc>
          <w:tcPr>
            <w:tcW w:w="2254" w:type="dxa"/>
          </w:tcPr>
          <w:p w14:paraId="5FB5F5CF" w14:textId="77777777" w:rsidR="00DA3AF2" w:rsidRDefault="00DA3AF2" w:rsidP="00DA3AF2">
            <w:r>
              <w:t>Zorgen voor goede verdeling per artikel – continue proces</w:t>
            </w:r>
          </w:p>
          <w:p w14:paraId="62A3F0E5" w14:textId="77777777" w:rsidR="00DA3AF2" w:rsidRDefault="00DA3AF2" w:rsidP="00DA3AF2"/>
          <w:p w14:paraId="465D7435" w14:textId="77777777" w:rsidR="00DA3AF2" w:rsidRDefault="00DA3AF2" w:rsidP="00DA3AF2">
            <w:r>
              <w:t>(leeftijd, gender, herkomst, etc)</w:t>
            </w:r>
          </w:p>
        </w:tc>
        <w:tc>
          <w:tcPr>
            <w:tcW w:w="2254" w:type="dxa"/>
          </w:tcPr>
          <w:p w14:paraId="0A3FE821" w14:textId="77777777" w:rsidR="00DA3AF2" w:rsidRDefault="00DA3AF2" w:rsidP="00DA3AF2"/>
        </w:tc>
        <w:tc>
          <w:tcPr>
            <w:tcW w:w="2254" w:type="dxa"/>
          </w:tcPr>
          <w:p w14:paraId="50B8E96B" w14:textId="77777777" w:rsidR="00DA3AF2" w:rsidRDefault="00DA3AF2" w:rsidP="00DA3AF2">
            <w:r>
              <w:t>Onderzoek blijven doen na iedere jaargang</w:t>
            </w:r>
          </w:p>
        </w:tc>
      </w:tr>
      <w:tr w:rsidR="00DA3AF2" w14:paraId="1F090A20" w14:textId="77777777" w:rsidTr="00DA3AF2">
        <w:tc>
          <w:tcPr>
            <w:tcW w:w="2254" w:type="dxa"/>
          </w:tcPr>
          <w:p w14:paraId="7A468435" w14:textId="77777777" w:rsidR="00DA3AF2" w:rsidRDefault="00DA3AF2" w:rsidP="00DA3AF2">
            <w:r>
              <w:t>Recensenten</w:t>
            </w:r>
          </w:p>
        </w:tc>
        <w:tc>
          <w:tcPr>
            <w:tcW w:w="2254" w:type="dxa"/>
          </w:tcPr>
          <w:p w14:paraId="7E4AEBF9" w14:textId="77777777" w:rsidR="00DA3AF2" w:rsidRDefault="00DA3AF2" w:rsidP="00DA3AF2">
            <w:r>
              <w:t>Zorgen voor goede verdeling – continue proces</w:t>
            </w:r>
          </w:p>
          <w:p w14:paraId="1B4BA014" w14:textId="77777777" w:rsidR="00DA3AF2" w:rsidRDefault="00DA3AF2" w:rsidP="00DA3AF2"/>
          <w:p w14:paraId="3F48D30B" w14:textId="77777777" w:rsidR="00DA3AF2" w:rsidRDefault="00DA3AF2" w:rsidP="00DA3AF2">
            <w:r>
              <w:t>(leeftijd, gender, herkomst, etc)</w:t>
            </w:r>
          </w:p>
        </w:tc>
        <w:tc>
          <w:tcPr>
            <w:tcW w:w="2254" w:type="dxa"/>
          </w:tcPr>
          <w:p w14:paraId="67D5142D" w14:textId="77777777" w:rsidR="00DA3AF2" w:rsidRDefault="00DA3AF2" w:rsidP="00DA3AF2"/>
        </w:tc>
        <w:tc>
          <w:tcPr>
            <w:tcW w:w="2254" w:type="dxa"/>
          </w:tcPr>
          <w:p w14:paraId="7473F19D" w14:textId="77777777" w:rsidR="00DA3AF2" w:rsidRDefault="00DA3AF2" w:rsidP="00DA3AF2">
            <w:r>
              <w:t>Onderzoek blijven doen na iedere jaargang</w:t>
            </w:r>
          </w:p>
        </w:tc>
      </w:tr>
      <w:tr w:rsidR="00DA3AF2" w14:paraId="5429351B" w14:textId="77777777" w:rsidTr="00DA3AF2">
        <w:tc>
          <w:tcPr>
            <w:tcW w:w="2254" w:type="dxa"/>
          </w:tcPr>
          <w:p w14:paraId="38D62B4B" w14:textId="77777777" w:rsidR="00DA3AF2" w:rsidRDefault="00DA3AF2" w:rsidP="00DA3AF2">
            <w:r>
              <w:t>Samenwerkings-partners</w:t>
            </w:r>
          </w:p>
        </w:tc>
        <w:tc>
          <w:tcPr>
            <w:tcW w:w="2254" w:type="dxa"/>
          </w:tcPr>
          <w:p w14:paraId="0B47A288" w14:textId="77777777" w:rsidR="00DA3AF2" w:rsidRDefault="00DA3AF2" w:rsidP="00DA3AF2">
            <w:r>
              <w:t>Actief zoeken naar diversiteit</w:t>
            </w:r>
            <w:r w:rsidR="00F3597E">
              <w:t xml:space="preserve"> en dus netwerkverbreding</w:t>
            </w:r>
          </w:p>
        </w:tc>
        <w:tc>
          <w:tcPr>
            <w:tcW w:w="2254" w:type="dxa"/>
          </w:tcPr>
          <w:p w14:paraId="5632FD6B" w14:textId="77777777" w:rsidR="00DA3AF2" w:rsidRDefault="00DA3AF2" w:rsidP="00DA3AF2"/>
        </w:tc>
        <w:tc>
          <w:tcPr>
            <w:tcW w:w="2254" w:type="dxa"/>
          </w:tcPr>
          <w:p w14:paraId="7D30CCAE" w14:textId="77777777" w:rsidR="00DA3AF2" w:rsidRDefault="00DA3AF2" w:rsidP="00DA3AF2"/>
        </w:tc>
      </w:tr>
    </w:tbl>
    <w:p w14:paraId="4BE73D6D" w14:textId="77777777" w:rsidR="00E30001" w:rsidRDefault="00E30001" w:rsidP="00BD0028">
      <w:pPr>
        <w:rPr>
          <w:rFonts w:asciiTheme="majorHAnsi" w:eastAsiaTheme="majorEastAsia" w:hAnsiTheme="majorHAnsi" w:cstheme="majorBidi"/>
          <w:b/>
          <w:sz w:val="32"/>
          <w:szCs w:val="32"/>
        </w:rPr>
      </w:pPr>
    </w:p>
    <w:p w14:paraId="012C58AA" w14:textId="77777777" w:rsidR="00F3597E" w:rsidRDefault="00F3597E">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br w:type="page"/>
      </w:r>
    </w:p>
    <w:p w14:paraId="1D5231F9" w14:textId="77777777" w:rsidR="001073E2" w:rsidRDefault="00E30001" w:rsidP="00BD0028">
      <w:pP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lastRenderedPageBreak/>
        <w:t>Gewenste resultaten</w:t>
      </w:r>
    </w:p>
    <w:p w14:paraId="7A205013" w14:textId="5A6BC499" w:rsidR="001C2E93" w:rsidRDefault="001C2E93" w:rsidP="00BD0028">
      <w:pPr>
        <w:rPr>
          <w:rFonts w:eastAsiaTheme="majorEastAsia" w:cstheme="minorHAnsi"/>
          <w:szCs w:val="32"/>
        </w:rPr>
      </w:pPr>
      <w:r>
        <w:rPr>
          <w:rFonts w:eastAsiaTheme="majorEastAsia" w:cstheme="minorHAnsi"/>
          <w:szCs w:val="32"/>
        </w:rPr>
        <w:t>Het is lastig om harde en concrete resultaten te noemen. Het algemene resultaat is dat we streven naar meer diversiteit in programma, publiek, personeel en partners. We denken dat te bereiken door (nog) meer aandacht te hebben voor inclusie in de manier waarop we werken als bureau, bestuur en redactie. Een belangrijke kanttekening is hier op zijn plaats. Als KNHG zijn we afhankelijk wie geschiedenis gaat studeren én wie zich professioneel op het historisch vakgebied in den brede gaat bewegen. Als er bijvoorbeeld bijna geen studenten van kleur zijn, komen die dus ook mondjesmaat op de historische arbeidsmarkt waardoor het voor het KNHG lastig is om daar invulling aan te geven in de vier P</w:t>
      </w:r>
      <w:r w:rsidR="00233940">
        <w:rPr>
          <w:rFonts w:eastAsiaTheme="majorEastAsia" w:cstheme="minorHAnsi"/>
          <w:szCs w:val="32"/>
        </w:rPr>
        <w:t>’</w:t>
      </w:r>
      <w:r>
        <w:rPr>
          <w:rFonts w:eastAsiaTheme="majorEastAsia" w:cstheme="minorHAnsi"/>
          <w:szCs w:val="32"/>
        </w:rPr>
        <w:t>s</w:t>
      </w:r>
      <w:r w:rsidR="00233940">
        <w:rPr>
          <w:rFonts w:eastAsiaTheme="majorEastAsia" w:cstheme="minorHAnsi"/>
          <w:szCs w:val="32"/>
        </w:rPr>
        <w:t xml:space="preserve"> in deze categorie</w:t>
      </w:r>
      <w:r>
        <w:rPr>
          <w:rFonts w:eastAsiaTheme="majorEastAsia" w:cstheme="minorHAnsi"/>
          <w:szCs w:val="32"/>
        </w:rPr>
        <w:t>.</w:t>
      </w:r>
      <w:r w:rsidR="00D01852">
        <w:rPr>
          <w:rFonts w:eastAsiaTheme="majorEastAsia" w:cstheme="minorHAnsi"/>
          <w:szCs w:val="32"/>
        </w:rPr>
        <w:t xml:space="preserve"> </w:t>
      </w:r>
    </w:p>
    <w:p w14:paraId="7553EA7B" w14:textId="3B2353B6" w:rsidR="00EE2243" w:rsidRDefault="001C2E93" w:rsidP="00BD0028">
      <w:pPr>
        <w:rPr>
          <w:rFonts w:eastAsiaTheme="majorEastAsia" w:cstheme="minorHAnsi"/>
          <w:szCs w:val="32"/>
        </w:rPr>
      </w:pPr>
      <w:r>
        <w:rPr>
          <w:rFonts w:eastAsiaTheme="majorEastAsia" w:cstheme="minorHAnsi"/>
          <w:szCs w:val="32"/>
        </w:rPr>
        <w:t>Hoewel het dus lastig is om streefcijfers te noemen,</w:t>
      </w:r>
      <w:r w:rsidR="00233940">
        <w:rPr>
          <w:rFonts w:eastAsiaTheme="majorEastAsia" w:cstheme="minorHAnsi"/>
          <w:szCs w:val="32"/>
        </w:rPr>
        <w:t xml:space="preserve"> vinden we het toch belangrijk om concrete doelen te stellen. Als KNHG</w:t>
      </w:r>
      <w:r>
        <w:rPr>
          <w:rFonts w:eastAsiaTheme="majorEastAsia" w:cstheme="minorHAnsi"/>
          <w:szCs w:val="32"/>
        </w:rPr>
        <w:t xml:space="preserve"> </w:t>
      </w:r>
      <w:r w:rsidR="00D01852">
        <w:rPr>
          <w:rFonts w:eastAsiaTheme="majorEastAsia" w:cstheme="minorHAnsi"/>
          <w:szCs w:val="32"/>
        </w:rPr>
        <w:t>streven we naar</w:t>
      </w:r>
      <w:r>
        <w:rPr>
          <w:rFonts w:eastAsiaTheme="majorEastAsia" w:cstheme="minorHAnsi"/>
          <w:szCs w:val="32"/>
        </w:rPr>
        <w:t>:</w:t>
      </w:r>
    </w:p>
    <w:p w14:paraId="2F5771E6" w14:textId="77777777" w:rsidR="00EE2243" w:rsidRDefault="00EE2243" w:rsidP="00EE2243">
      <w:pPr>
        <w:pStyle w:val="Lijstalinea"/>
        <w:numPr>
          <w:ilvl w:val="0"/>
          <w:numId w:val="16"/>
        </w:numPr>
        <w:rPr>
          <w:rFonts w:eastAsiaTheme="majorEastAsia" w:cstheme="minorHAnsi"/>
          <w:szCs w:val="32"/>
        </w:rPr>
      </w:pPr>
      <w:r>
        <w:rPr>
          <w:rFonts w:eastAsiaTheme="majorEastAsia" w:cstheme="minorHAnsi"/>
          <w:szCs w:val="32"/>
        </w:rPr>
        <w:t>Programma</w:t>
      </w:r>
    </w:p>
    <w:p w14:paraId="48B95481" w14:textId="77777777" w:rsidR="00EE2243" w:rsidRDefault="00EE2243" w:rsidP="00EE2243">
      <w:pPr>
        <w:pStyle w:val="Lijstalinea"/>
        <w:numPr>
          <w:ilvl w:val="1"/>
          <w:numId w:val="16"/>
        </w:numPr>
        <w:rPr>
          <w:rFonts w:eastAsiaTheme="majorEastAsia" w:cstheme="minorHAnsi"/>
          <w:szCs w:val="32"/>
        </w:rPr>
      </w:pPr>
      <w:r>
        <w:rPr>
          <w:rFonts w:eastAsiaTheme="majorEastAsia" w:cstheme="minorHAnsi"/>
          <w:szCs w:val="32"/>
        </w:rPr>
        <w:t>30% sprekers is jonge historicus</w:t>
      </w:r>
    </w:p>
    <w:p w14:paraId="08EBAB70" w14:textId="39CE3D31" w:rsidR="00EE2243" w:rsidRDefault="00EE2243" w:rsidP="00EE2243">
      <w:pPr>
        <w:pStyle w:val="Lijstalinea"/>
        <w:numPr>
          <w:ilvl w:val="1"/>
          <w:numId w:val="16"/>
        </w:numPr>
        <w:rPr>
          <w:rFonts w:eastAsiaTheme="majorEastAsia" w:cstheme="minorHAnsi"/>
          <w:szCs w:val="32"/>
        </w:rPr>
      </w:pPr>
      <w:r>
        <w:rPr>
          <w:rFonts w:eastAsiaTheme="majorEastAsia" w:cstheme="minorHAnsi"/>
          <w:szCs w:val="32"/>
        </w:rPr>
        <w:t>20% sprekers is historicus van kleur</w:t>
      </w:r>
      <w:r w:rsidR="00233940">
        <w:rPr>
          <w:rFonts w:eastAsiaTheme="majorEastAsia" w:cstheme="minorHAnsi"/>
          <w:szCs w:val="32"/>
        </w:rPr>
        <w:t>/eerste generatie</w:t>
      </w:r>
    </w:p>
    <w:p w14:paraId="541CA19B" w14:textId="77777777" w:rsidR="00EE2243" w:rsidRDefault="00EE2243" w:rsidP="008E0770">
      <w:pPr>
        <w:pStyle w:val="Lijstalinea"/>
        <w:numPr>
          <w:ilvl w:val="1"/>
          <w:numId w:val="16"/>
        </w:numPr>
        <w:rPr>
          <w:rFonts w:eastAsiaTheme="majorEastAsia" w:cstheme="minorHAnsi"/>
          <w:szCs w:val="32"/>
        </w:rPr>
      </w:pPr>
      <w:r>
        <w:rPr>
          <w:rFonts w:eastAsiaTheme="majorEastAsia" w:cstheme="minorHAnsi"/>
          <w:szCs w:val="32"/>
        </w:rPr>
        <w:t>50% sprekers is vrouw</w:t>
      </w:r>
    </w:p>
    <w:p w14:paraId="6970A0CE" w14:textId="77777777" w:rsidR="00EE2243" w:rsidRDefault="00EE2243" w:rsidP="00EE2243">
      <w:pPr>
        <w:pStyle w:val="Lijstalinea"/>
        <w:numPr>
          <w:ilvl w:val="0"/>
          <w:numId w:val="16"/>
        </w:numPr>
        <w:rPr>
          <w:rFonts w:eastAsiaTheme="majorEastAsia" w:cstheme="minorHAnsi"/>
          <w:szCs w:val="32"/>
        </w:rPr>
      </w:pPr>
      <w:r>
        <w:rPr>
          <w:rFonts w:eastAsiaTheme="majorEastAsia" w:cstheme="minorHAnsi"/>
          <w:szCs w:val="32"/>
        </w:rPr>
        <w:t>Publiek</w:t>
      </w:r>
    </w:p>
    <w:p w14:paraId="20D5F573" w14:textId="77777777" w:rsidR="00FC134B" w:rsidRDefault="00EE2243" w:rsidP="00FC134B">
      <w:pPr>
        <w:pStyle w:val="Lijstalinea"/>
        <w:numPr>
          <w:ilvl w:val="1"/>
          <w:numId w:val="16"/>
        </w:numPr>
        <w:rPr>
          <w:rFonts w:eastAsiaTheme="majorEastAsia" w:cstheme="minorHAnsi"/>
          <w:szCs w:val="32"/>
        </w:rPr>
      </w:pPr>
      <w:r>
        <w:rPr>
          <w:rFonts w:eastAsiaTheme="majorEastAsia" w:cstheme="minorHAnsi"/>
          <w:szCs w:val="32"/>
        </w:rPr>
        <w:t>30% deelnemers is jonge historicus</w:t>
      </w:r>
    </w:p>
    <w:p w14:paraId="4B3604DC" w14:textId="77777777" w:rsidR="00FC134B" w:rsidRPr="00FC134B" w:rsidRDefault="00FC134B" w:rsidP="00FC134B">
      <w:pPr>
        <w:pStyle w:val="Lijstalinea"/>
        <w:numPr>
          <w:ilvl w:val="1"/>
          <w:numId w:val="16"/>
        </w:numPr>
        <w:rPr>
          <w:rFonts w:eastAsiaTheme="majorEastAsia" w:cstheme="minorHAnsi"/>
          <w:szCs w:val="32"/>
        </w:rPr>
      </w:pPr>
      <w:r>
        <w:rPr>
          <w:rFonts w:eastAsiaTheme="majorEastAsia" w:cstheme="minorHAnsi"/>
          <w:szCs w:val="32"/>
        </w:rPr>
        <w:t>10% deelnemers is historicus van kleur</w:t>
      </w:r>
    </w:p>
    <w:p w14:paraId="72653BB8" w14:textId="77777777" w:rsidR="00EE2243" w:rsidRDefault="00EE2243" w:rsidP="00EE2243">
      <w:pPr>
        <w:pStyle w:val="Lijstalinea"/>
        <w:numPr>
          <w:ilvl w:val="0"/>
          <w:numId w:val="16"/>
        </w:numPr>
        <w:rPr>
          <w:rFonts w:eastAsiaTheme="majorEastAsia" w:cstheme="minorHAnsi"/>
          <w:szCs w:val="32"/>
        </w:rPr>
      </w:pPr>
      <w:r>
        <w:rPr>
          <w:rFonts w:eastAsiaTheme="majorEastAsia" w:cstheme="minorHAnsi"/>
          <w:szCs w:val="32"/>
        </w:rPr>
        <w:t>Personeel</w:t>
      </w:r>
    </w:p>
    <w:p w14:paraId="30B0ECD8" w14:textId="77777777" w:rsidR="00EE2243" w:rsidRDefault="00EE2243" w:rsidP="00EE2243">
      <w:pPr>
        <w:pStyle w:val="Lijstalinea"/>
        <w:numPr>
          <w:ilvl w:val="1"/>
          <w:numId w:val="16"/>
        </w:numPr>
        <w:rPr>
          <w:rFonts w:eastAsiaTheme="majorEastAsia" w:cstheme="minorHAnsi"/>
          <w:szCs w:val="32"/>
        </w:rPr>
      </w:pPr>
      <w:r>
        <w:rPr>
          <w:rFonts w:eastAsiaTheme="majorEastAsia" w:cstheme="minorHAnsi"/>
          <w:szCs w:val="32"/>
        </w:rPr>
        <w:t>50% bestuur- en redactieleden is vrouw</w:t>
      </w:r>
    </w:p>
    <w:p w14:paraId="0E7ADCA2" w14:textId="77777777" w:rsidR="00EE2243" w:rsidRDefault="00EE2243" w:rsidP="00EE2243">
      <w:pPr>
        <w:pStyle w:val="Lijstalinea"/>
        <w:numPr>
          <w:ilvl w:val="1"/>
          <w:numId w:val="16"/>
        </w:numPr>
        <w:rPr>
          <w:rFonts w:eastAsiaTheme="majorEastAsia" w:cstheme="minorHAnsi"/>
          <w:szCs w:val="32"/>
        </w:rPr>
      </w:pPr>
      <w:r>
        <w:rPr>
          <w:rFonts w:eastAsiaTheme="majorEastAsia" w:cstheme="minorHAnsi"/>
          <w:szCs w:val="32"/>
        </w:rPr>
        <w:t>50% bestuur- en redactieleden is historicus van kleur</w:t>
      </w:r>
    </w:p>
    <w:p w14:paraId="1A6EF53E" w14:textId="04557018" w:rsidR="00EE2243" w:rsidRDefault="00EE2243" w:rsidP="00EE2243">
      <w:pPr>
        <w:pStyle w:val="Lijstalinea"/>
        <w:numPr>
          <w:ilvl w:val="1"/>
          <w:numId w:val="16"/>
        </w:numPr>
        <w:rPr>
          <w:rFonts w:eastAsiaTheme="majorEastAsia" w:cstheme="minorHAnsi"/>
          <w:szCs w:val="32"/>
        </w:rPr>
      </w:pPr>
      <w:r w:rsidRPr="00EE2243">
        <w:rPr>
          <w:rFonts w:eastAsiaTheme="majorEastAsia" w:cstheme="minorHAnsi"/>
          <w:szCs w:val="32"/>
        </w:rPr>
        <w:t xml:space="preserve"> </w:t>
      </w:r>
      <w:r>
        <w:rPr>
          <w:rFonts w:eastAsiaTheme="majorEastAsia" w:cstheme="minorHAnsi"/>
          <w:szCs w:val="32"/>
        </w:rPr>
        <w:t xml:space="preserve">Per jaar minimaal een stagiaire/vrijwilliger </w:t>
      </w:r>
      <w:r w:rsidR="00FC134B">
        <w:rPr>
          <w:rFonts w:eastAsiaTheme="majorEastAsia" w:cstheme="minorHAnsi"/>
          <w:szCs w:val="32"/>
        </w:rPr>
        <w:t>van kleur</w:t>
      </w:r>
      <w:r w:rsidR="00233940">
        <w:rPr>
          <w:rFonts w:eastAsiaTheme="majorEastAsia" w:cstheme="minorHAnsi"/>
          <w:szCs w:val="32"/>
        </w:rPr>
        <w:t>/eerste generatie</w:t>
      </w:r>
    </w:p>
    <w:p w14:paraId="2DC2FC74" w14:textId="7AD3D593" w:rsidR="00EE2243" w:rsidRDefault="00EE2243" w:rsidP="00EE2243">
      <w:pPr>
        <w:pStyle w:val="Lijstalinea"/>
        <w:numPr>
          <w:ilvl w:val="1"/>
          <w:numId w:val="16"/>
        </w:numPr>
        <w:rPr>
          <w:rFonts w:eastAsiaTheme="majorEastAsia" w:cstheme="minorHAnsi"/>
          <w:szCs w:val="32"/>
        </w:rPr>
      </w:pPr>
      <w:r>
        <w:rPr>
          <w:rFonts w:eastAsiaTheme="majorEastAsia" w:cstheme="minorHAnsi"/>
          <w:szCs w:val="32"/>
        </w:rPr>
        <w:t xml:space="preserve">Per jaar minimaal een stagiaire/vrijwilliger </w:t>
      </w:r>
      <w:r w:rsidR="00FC134B">
        <w:rPr>
          <w:rFonts w:eastAsiaTheme="majorEastAsia" w:cstheme="minorHAnsi"/>
          <w:szCs w:val="32"/>
        </w:rPr>
        <w:t>van kleur</w:t>
      </w:r>
      <w:r w:rsidR="00233940">
        <w:rPr>
          <w:rFonts w:eastAsiaTheme="majorEastAsia" w:cstheme="minorHAnsi"/>
          <w:szCs w:val="32"/>
        </w:rPr>
        <w:t>/eerste generatie</w:t>
      </w:r>
    </w:p>
    <w:p w14:paraId="2C5BB912" w14:textId="77777777" w:rsidR="00EE2243" w:rsidRDefault="00EE2243" w:rsidP="00EE2243">
      <w:pPr>
        <w:pStyle w:val="Lijstalinea"/>
        <w:numPr>
          <w:ilvl w:val="1"/>
          <w:numId w:val="16"/>
        </w:numPr>
        <w:rPr>
          <w:rFonts w:eastAsiaTheme="majorEastAsia" w:cstheme="minorHAnsi"/>
          <w:szCs w:val="32"/>
        </w:rPr>
      </w:pPr>
      <w:r>
        <w:rPr>
          <w:rFonts w:eastAsiaTheme="majorEastAsia" w:cstheme="minorHAnsi"/>
          <w:szCs w:val="32"/>
        </w:rPr>
        <w:t>Per jaar minimaal een stagiaire/vrijwilliger niet uit Randstad</w:t>
      </w:r>
    </w:p>
    <w:p w14:paraId="55D7B397" w14:textId="77777777" w:rsidR="00F3597E" w:rsidRDefault="00F3597E" w:rsidP="00EE2243">
      <w:pPr>
        <w:pStyle w:val="Lijstalinea"/>
        <w:numPr>
          <w:ilvl w:val="1"/>
          <w:numId w:val="16"/>
        </w:numPr>
        <w:rPr>
          <w:rFonts w:eastAsiaTheme="majorEastAsia" w:cstheme="minorHAnsi"/>
          <w:szCs w:val="32"/>
        </w:rPr>
      </w:pPr>
      <w:r>
        <w:rPr>
          <w:rFonts w:eastAsiaTheme="majorEastAsia" w:cstheme="minorHAnsi"/>
          <w:szCs w:val="32"/>
        </w:rPr>
        <w:t xml:space="preserve">Tenminste een stagiaire/vrijwilliger met een arbeidsbeperking </w:t>
      </w:r>
    </w:p>
    <w:p w14:paraId="4F118FB5" w14:textId="77777777" w:rsidR="00EE2243" w:rsidRDefault="00EE2243" w:rsidP="00EE2243">
      <w:pPr>
        <w:pStyle w:val="Lijstalinea"/>
        <w:numPr>
          <w:ilvl w:val="0"/>
          <w:numId w:val="16"/>
        </w:numPr>
        <w:rPr>
          <w:rFonts w:eastAsiaTheme="majorEastAsia" w:cstheme="minorHAnsi"/>
          <w:szCs w:val="32"/>
        </w:rPr>
      </w:pPr>
      <w:r>
        <w:rPr>
          <w:rFonts w:eastAsiaTheme="majorEastAsia" w:cstheme="minorHAnsi"/>
          <w:szCs w:val="32"/>
        </w:rPr>
        <w:t>Partners</w:t>
      </w:r>
    </w:p>
    <w:p w14:paraId="6FC2E326" w14:textId="77777777" w:rsidR="00EE2243" w:rsidRDefault="00EE2243" w:rsidP="00EE2243">
      <w:pPr>
        <w:pStyle w:val="Lijstalinea"/>
        <w:numPr>
          <w:ilvl w:val="1"/>
          <w:numId w:val="16"/>
        </w:numPr>
        <w:rPr>
          <w:rFonts w:eastAsiaTheme="majorEastAsia" w:cstheme="minorHAnsi"/>
          <w:szCs w:val="32"/>
        </w:rPr>
      </w:pPr>
      <w:r>
        <w:rPr>
          <w:rFonts w:eastAsiaTheme="majorEastAsia" w:cstheme="minorHAnsi"/>
          <w:szCs w:val="32"/>
        </w:rPr>
        <w:t>50% gepubliceerde auteurs is vrouw</w:t>
      </w:r>
    </w:p>
    <w:p w14:paraId="22912530" w14:textId="77777777" w:rsidR="00EE2243" w:rsidRDefault="00F3597E" w:rsidP="00EE2243">
      <w:pPr>
        <w:pStyle w:val="Lijstalinea"/>
        <w:numPr>
          <w:ilvl w:val="1"/>
          <w:numId w:val="16"/>
        </w:numPr>
        <w:rPr>
          <w:rFonts w:eastAsiaTheme="majorEastAsia" w:cstheme="minorHAnsi"/>
          <w:szCs w:val="32"/>
        </w:rPr>
      </w:pPr>
      <w:r>
        <w:rPr>
          <w:rFonts w:eastAsiaTheme="majorEastAsia" w:cstheme="minorHAnsi"/>
          <w:szCs w:val="32"/>
        </w:rPr>
        <w:t>Tenminste 25% gepubliceerde auteurs is Belgisch</w:t>
      </w:r>
    </w:p>
    <w:p w14:paraId="354C69FF" w14:textId="77777777" w:rsidR="00F3597E" w:rsidRDefault="00F3597E" w:rsidP="00EE2243">
      <w:pPr>
        <w:pStyle w:val="Lijstalinea"/>
        <w:numPr>
          <w:ilvl w:val="1"/>
          <w:numId w:val="16"/>
        </w:numPr>
        <w:rPr>
          <w:rFonts w:eastAsiaTheme="majorEastAsia" w:cstheme="minorHAnsi"/>
          <w:szCs w:val="32"/>
        </w:rPr>
      </w:pPr>
      <w:r>
        <w:rPr>
          <w:rFonts w:eastAsiaTheme="majorEastAsia" w:cstheme="minorHAnsi"/>
          <w:szCs w:val="32"/>
        </w:rPr>
        <w:t>Tenminste 25% auteurs is internationaal</w:t>
      </w:r>
    </w:p>
    <w:p w14:paraId="4F8B2105" w14:textId="77777777" w:rsidR="00F3597E" w:rsidRDefault="00F3597E" w:rsidP="00EE2243">
      <w:pPr>
        <w:pStyle w:val="Lijstalinea"/>
        <w:numPr>
          <w:ilvl w:val="1"/>
          <w:numId w:val="16"/>
        </w:numPr>
        <w:rPr>
          <w:rFonts w:eastAsiaTheme="majorEastAsia" w:cstheme="minorHAnsi"/>
          <w:szCs w:val="32"/>
        </w:rPr>
      </w:pPr>
      <w:r>
        <w:rPr>
          <w:rFonts w:eastAsiaTheme="majorEastAsia" w:cstheme="minorHAnsi"/>
          <w:szCs w:val="32"/>
        </w:rPr>
        <w:t>50% recensenten is vrouw</w:t>
      </w:r>
    </w:p>
    <w:p w14:paraId="277E9E4D" w14:textId="77777777" w:rsidR="00F3597E" w:rsidRDefault="00F3597E" w:rsidP="00EE2243">
      <w:pPr>
        <w:pStyle w:val="Lijstalinea"/>
        <w:numPr>
          <w:ilvl w:val="1"/>
          <w:numId w:val="16"/>
        </w:numPr>
        <w:rPr>
          <w:rFonts w:eastAsiaTheme="majorEastAsia" w:cstheme="minorHAnsi"/>
          <w:szCs w:val="32"/>
        </w:rPr>
      </w:pPr>
      <w:r>
        <w:rPr>
          <w:rFonts w:eastAsiaTheme="majorEastAsia" w:cstheme="minorHAnsi"/>
          <w:szCs w:val="32"/>
        </w:rPr>
        <w:t>50% recensenten is Belgisch</w:t>
      </w:r>
    </w:p>
    <w:p w14:paraId="3F8BAF83" w14:textId="77777777" w:rsidR="00EE2243" w:rsidRPr="00EE2243" w:rsidRDefault="00EE2243" w:rsidP="00EE2243">
      <w:pPr>
        <w:pStyle w:val="Lijstalinea"/>
        <w:ind w:left="1440"/>
        <w:rPr>
          <w:rFonts w:eastAsiaTheme="majorEastAsia" w:cstheme="minorHAnsi"/>
          <w:szCs w:val="32"/>
        </w:rPr>
      </w:pPr>
    </w:p>
    <w:p w14:paraId="6CD90FA0" w14:textId="77777777" w:rsidR="001073E2" w:rsidRPr="00BD0028" w:rsidRDefault="001073E2" w:rsidP="00BD0028">
      <w:pPr>
        <w:rPr>
          <w:rFonts w:asciiTheme="majorHAnsi" w:eastAsiaTheme="majorEastAsia" w:hAnsiTheme="majorHAnsi" w:cstheme="majorBidi"/>
          <w:b/>
          <w:sz w:val="32"/>
          <w:szCs w:val="32"/>
        </w:rPr>
      </w:pPr>
      <w:r w:rsidRPr="00BD0028">
        <w:rPr>
          <w:rFonts w:asciiTheme="majorHAnsi" w:eastAsiaTheme="majorEastAsia" w:hAnsiTheme="majorHAnsi" w:cstheme="majorBidi"/>
          <w:b/>
          <w:sz w:val="32"/>
          <w:szCs w:val="32"/>
        </w:rPr>
        <w:t>Budget</w:t>
      </w:r>
    </w:p>
    <w:p w14:paraId="5E396190" w14:textId="1E1B4AA4" w:rsidR="009C24A6" w:rsidRDefault="00F3597E" w:rsidP="009C24A6">
      <w:r>
        <w:t xml:space="preserve">Er is budget voor zien voor het volgen van trainingen, het doen van onderzoek en het maken van kosten voor andere manier van werven. </w:t>
      </w:r>
    </w:p>
    <w:p w14:paraId="5A60B5A4" w14:textId="77777777" w:rsidR="00B94D15" w:rsidRDefault="00B94D15" w:rsidP="009C24A6"/>
    <w:p w14:paraId="4B2536BC" w14:textId="77777777" w:rsidR="00B94D15" w:rsidRDefault="00B94D15" w:rsidP="009C24A6"/>
    <w:p w14:paraId="6DB1A22F" w14:textId="77777777" w:rsidR="00B94D15" w:rsidRPr="009C24A6" w:rsidRDefault="00B94D15" w:rsidP="009C24A6"/>
    <w:sectPr w:rsidR="00B94D15" w:rsidRPr="009C24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81803" w14:textId="77777777" w:rsidR="004327F3" w:rsidRDefault="004327F3" w:rsidP="004327F3">
      <w:pPr>
        <w:spacing w:after="0" w:line="240" w:lineRule="auto"/>
      </w:pPr>
      <w:r>
        <w:separator/>
      </w:r>
    </w:p>
  </w:endnote>
  <w:endnote w:type="continuationSeparator" w:id="0">
    <w:p w14:paraId="5DA5440C" w14:textId="77777777" w:rsidR="004327F3" w:rsidRDefault="004327F3" w:rsidP="0043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922959"/>
      <w:docPartObj>
        <w:docPartGallery w:val="Page Numbers (Bottom of Page)"/>
        <w:docPartUnique/>
      </w:docPartObj>
    </w:sdtPr>
    <w:sdtEndPr/>
    <w:sdtContent>
      <w:p w14:paraId="650F0505" w14:textId="1CAB19E0" w:rsidR="00BB0DCA" w:rsidRDefault="00BB0DCA">
        <w:pPr>
          <w:pStyle w:val="Voettekst"/>
          <w:jc w:val="right"/>
        </w:pPr>
        <w:r>
          <w:fldChar w:fldCharType="begin"/>
        </w:r>
        <w:r>
          <w:instrText>PAGE   \* MERGEFORMAT</w:instrText>
        </w:r>
        <w:r>
          <w:fldChar w:fldCharType="separate"/>
        </w:r>
        <w:r w:rsidR="00824F4F">
          <w:rPr>
            <w:noProof/>
          </w:rPr>
          <w:t>4</w:t>
        </w:r>
        <w:r>
          <w:fldChar w:fldCharType="end"/>
        </w:r>
      </w:p>
    </w:sdtContent>
  </w:sdt>
  <w:p w14:paraId="0C40882E" w14:textId="77777777" w:rsidR="00BB0DCA" w:rsidRDefault="00BB0D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B8BBA" w14:textId="77777777" w:rsidR="004327F3" w:rsidRDefault="004327F3" w:rsidP="004327F3">
      <w:pPr>
        <w:spacing w:after="0" w:line="240" w:lineRule="auto"/>
      </w:pPr>
      <w:r>
        <w:separator/>
      </w:r>
    </w:p>
  </w:footnote>
  <w:footnote w:type="continuationSeparator" w:id="0">
    <w:p w14:paraId="44929501" w14:textId="77777777" w:rsidR="004327F3" w:rsidRDefault="004327F3" w:rsidP="004327F3">
      <w:pPr>
        <w:spacing w:after="0" w:line="240" w:lineRule="auto"/>
      </w:pPr>
      <w:r>
        <w:continuationSeparator/>
      </w:r>
    </w:p>
  </w:footnote>
  <w:footnote w:id="1">
    <w:p w14:paraId="42AE00C6" w14:textId="77777777" w:rsidR="004327F3" w:rsidRDefault="004327F3" w:rsidP="003054EA">
      <w:pPr>
        <w:pStyle w:val="Voetnoottekst"/>
      </w:pPr>
      <w:r>
        <w:rPr>
          <w:rStyle w:val="Voetnootmarkering"/>
        </w:rPr>
        <w:footnoteRef/>
      </w:r>
      <w:r>
        <w:t xml:space="preserve"> </w:t>
      </w:r>
      <w:r w:rsidR="003054EA">
        <w:t>Saskia Bonjour, Marieke van den Brink  en Gwendolyn Taartmans, Een diversity officer is niet genoeg: Het diversiteitsbeleid op Nederlandse universiteiten, in:</w:t>
      </w:r>
      <w:r w:rsidR="003054EA" w:rsidRPr="003054EA">
        <w:tab/>
      </w:r>
      <w:r w:rsidR="003054EA" w:rsidRPr="003054EA">
        <w:rPr>
          <w:i/>
        </w:rPr>
        <w:t>TH&amp;MA, 27</w:t>
      </w:r>
      <w:r w:rsidR="003054EA" w:rsidRPr="003054EA">
        <w:t xml:space="preserve">, </w:t>
      </w:r>
      <w:r w:rsidR="003054EA">
        <w:t xml:space="preserve">2020, pp </w:t>
      </w:r>
      <w:r w:rsidR="003054EA" w:rsidRPr="003054EA">
        <w:t xml:space="preserve">83 - 89. </w:t>
      </w:r>
    </w:p>
  </w:footnote>
  <w:footnote w:id="2">
    <w:p w14:paraId="66C8F2D2" w14:textId="4B99423D" w:rsidR="00AF19B1" w:rsidRDefault="00AF19B1">
      <w:pPr>
        <w:pStyle w:val="Voetnoottekst"/>
      </w:pPr>
      <w:r>
        <w:rPr>
          <w:rStyle w:val="Voetnootmarkering"/>
        </w:rPr>
        <w:footnoteRef/>
      </w:r>
      <w:r>
        <w:t xml:space="preserve"> Het KNHG volgt hierbij de definities zoals gehanteerd door het CBS: </w:t>
      </w:r>
      <w:hyperlink r:id="rId1" w:history="1">
        <w:r w:rsidRPr="00B722D2">
          <w:rPr>
            <w:rStyle w:val="Hyperlink"/>
          </w:rPr>
          <w:t>https://www.cbs.nl/nl-nl/onze-diensten/methoden/begrippen/migratieachtergrond</w:t>
        </w:r>
      </w:hyperlink>
    </w:p>
    <w:p w14:paraId="37F257DC" w14:textId="77777777" w:rsidR="00AF19B1" w:rsidRDefault="00AF19B1">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36BE"/>
    <w:multiLevelType w:val="hybridMultilevel"/>
    <w:tmpl w:val="557604EA"/>
    <w:lvl w:ilvl="0" w:tplc="04130003">
      <w:start w:val="1"/>
      <w:numFmt w:val="bullet"/>
      <w:lvlText w:val="o"/>
      <w:lvlJc w:val="left"/>
      <w:pPr>
        <w:ind w:left="405"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7642F4"/>
    <w:multiLevelType w:val="hybridMultilevel"/>
    <w:tmpl w:val="FC723B58"/>
    <w:lvl w:ilvl="0" w:tplc="6F4075CE">
      <w:numFmt w:val="bullet"/>
      <w:lvlText w:val="-"/>
      <w:lvlJc w:val="left"/>
      <w:pPr>
        <w:ind w:left="720" w:hanging="360"/>
      </w:pPr>
      <w:rPr>
        <w:rFonts w:ascii="Calibri" w:eastAsiaTheme="majorEastAsia"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B94687"/>
    <w:multiLevelType w:val="hybridMultilevel"/>
    <w:tmpl w:val="9D5EACE2"/>
    <w:lvl w:ilvl="0" w:tplc="A19A35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1D422F"/>
    <w:multiLevelType w:val="hybridMultilevel"/>
    <w:tmpl w:val="7D2690BE"/>
    <w:lvl w:ilvl="0" w:tplc="04130003">
      <w:start w:val="1"/>
      <w:numFmt w:val="bullet"/>
      <w:lvlText w:val="o"/>
      <w:lvlJc w:val="left"/>
      <w:pPr>
        <w:ind w:left="360" w:hanging="360"/>
      </w:pPr>
      <w:rPr>
        <w:rFonts w:ascii="Courier New" w:hAnsi="Courier New" w:cs="Courier New"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3877A4"/>
    <w:multiLevelType w:val="hybridMultilevel"/>
    <w:tmpl w:val="2F9AB6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245F29"/>
    <w:multiLevelType w:val="hybridMultilevel"/>
    <w:tmpl w:val="825C6936"/>
    <w:lvl w:ilvl="0" w:tplc="0F86F778">
      <w:numFmt w:val="bullet"/>
      <w:lvlText w:val="-"/>
      <w:lvlJc w:val="left"/>
      <w:pPr>
        <w:ind w:left="720" w:hanging="360"/>
      </w:pPr>
      <w:rPr>
        <w:rFonts w:ascii="Calibri" w:eastAsiaTheme="maj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3F48DF"/>
    <w:multiLevelType w:val="hybridMultilevel"/>
    <w:tmpl w:val="9FDE72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C02B30"/>
    <w:multiLevelType w:val="hybridMultilevel"/>
    <w:tmpl w:val="DD245A6E"/>
    <w:lvl w:ilvl="0" w:tplc="38740930">
      <w:numFmt w:val="bullet"/>
      <w:lvlText w:val="-"/>
      <w:lvlJc w:val="left"/>
      <w:pPr>
        <w:ind w:left="720" w:hanging="360"/>
      </w:pPr>
      <w:rPr>
        <w:rFonts w:ascii="Calibri" w:eastAsiaTheme="maj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98674C"/>
    <w:multiLevelType w:val="hybridMultilevel"/>
    <w:tmpl w:val="AE68476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B814732"/>
    <w:multiLevelType w:val="hybridMultilevel"/>
    <w:tmpl w:val="4FD89C50"/>
    <w:lvl w:ilvl="0" w:tplc="04130003">
      <w:start w:val="1"/>
      <w:numFmt w:val="bullet"/>
      <w:lvlText w:val="o"/>
      <w:lvlJc w:val="left"/>
      <w:pPr>
        <w:ind w:left="360" w:hanging="360"/>
      </w:pPr>
      <w:rPr>
        <w:rFonts w:ascii="Courier New" w:hAnsi="Courier New" w:cs="Courier New"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D236C47"/>
    <w:multiLevelType w:val="hybridMultilevel"/>
    <w:tmpl w:val="49B062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D63C09"/>
    <w:multiLevelType w:val="hybridMultilevel"/>
    <w:tmpl w:val="F13E8B1E"/>
    <w:lvl w:ilvl="0" w:tplc="3A5EA41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5C436C"/>
    <w:multiLevelType w:val="hybridMultilevel"/>
    <w:tmpl w:val="A866DE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242918"/>
    <w:multiLevelType w:val="hybridMultilevel"/>
    <w:tmpl w:val="9B8A811C"/>
    <w:lvl w:ilvl="0" w:tplc="D8E431D2">
      <w:numFmt w:val="bullet"/>
      <w:lvlText w:val=""/>
      <w:lvlJc w:val="left"/>
      <w:pPr>
        <w:ind w:left="405" w:hanging="360"/>
      </w:pPr>
      <w:rPr>
        <w:rFonts w:ascii="Wingdings" w:eastAsiaTheme="minorHAnsi" w:hAnsi="Wingdings"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4" w15:restartNumberingAfterBreak="0">
    <w:nsid w:val="64A271A5"/>
    <w:multiLevelType w:val="hybridMultilevel"/>
    <w:tmpl w:val="C0B0B7B0"/>
    <w:lvl w:ilvl="0" w:tplc="8C9232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4EA1F81"/>
    <w:multiLevelType w:val="hybridMultilevel"/>
    <w:tmpl w:val="AB648D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3A0300"/>
    <w:multiLevelType w:val="hybridMultilevel"/>
    <w:tmpl w:val="A5F64E84"/>
    <w:lvl w:ilvl="0" w:tplc="04130003">
      <w:start w:val="1"/>
      <w:numFmt w:val="bullet"/>
      <w:lvlText w:val="o"/>
      <w:lvlJc w:val="left"/>
      <w:pPr>
        <w:ind w:left="765" w:hanging="360"/>
      </w:pPr>
      <w:rPr>
        <w:rFonts w:ascii="Courier New" w:hAnsi="Courier New" w:cs="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15"/>
  </w:num>
  <w:num w:numId="6">
    <w:abstractNumId w:val="10"/>
  </w:num>
  <w:num w:numId="7">
    <w:abstractNumId w:val="4"/>
  </w:num>
  <w:num w:numId="8">
    <w:abstractNumId w:val="16"/>
  </w:num>
  <w:num w:numId="9">
    <w:abstractNumId w:val="13"/>
  </w:num>
  <w:num w:numId="10">
    <w:abstractNumId w:val="0"/>
  </w:num>
  <w:num w:numId="11">
    <w:abstractNumId w:val="12"/>
  </w:num>
  <w:num w:numId="12">
    <w:abstractNumId w:val="14"/>
  </w:num>
  <w:num w:numId="13">
    <w:abstractNumId w:val="2"/>
  </w:num>
  <w:num w:numId="14">
    <w:abstractNumId w:val="5"/>
  </w:num>
  <w:num w:numId="15">
    <w:abstractNumId w:val="7"/>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A6"/>
    <w:rsid w:val="00017257"/>
    <w:rsid w:val="00066E4A"/>
    <w:rsid w:val="000C5014"/>
    <w:rsid w:val="001073E2"/>
    <w:rsid w:val="00137E87"/>
    <w:rsid w:val="001C2E93"/>
    <w:rsid w:val="001F48F5"/>
    <w:rsid w:val="00204FF4"/>
    <w:rsid w:val="00224A9F"/>
    <w:rsid w:val="00233940"/>
    <w:rsid w:val="00252A06"/>
    <w:rsid w:val="0029666E"/>
    <w:rsid w:val="002B5706"/>
    <w:rsid w:val="002C1667"/>
    <w:rsid w:val="003054EA"/>
    <w:rsid w:val="00330DFC"/>
    <w:rsid w:val="00365CD4"/>
    <w:rsid w:val="00380F74"/>
    <w:rsid w:val="00386F85"/>
    <w:rsid w:val="003C56F4"/>
    <w:rsid w:val="003F1F34"/>
    <w:rsid w:val="003F2147"/>
    <w:rsid w:val="004327F3"/>
    <w:rsid w:val="00467EE8"/>
    <w:rsid w:val="004C338D"/>
    <w:rsid w:val="004E5E91"/>
    <w:rsid w:val="0060061D"/>
    <w:rsid w:val="00616B6B"/>
    <w:rsid w:val="0063291B"/>
    <w:rsid w:val="00680D96"/>
    <w:rsid w:val="006823C5"/>
    <w:rsid w:val="006A249F"/>
    <w:rsid w:val="0070207E"/>
    <w:rsid w:val="0072236E"/>
    <w:rsid w:val="00755B0D"/>
    <w:rsid w:val="00824F4F"/>
    <w:rsid w:val="008508E2"/>
    <w:rsid w:val="008C1257"/>
    <w:rsid w:val="00927CD9"/>
    <w:rsid w:val="009C24A6"/>
    <w:rsid w:val="00A81A1E"/>
    <w:rsid w:val="00AB247F"/>
    <w:rsid w:val="00AF19B1"/>
    <w:rsid w:val="00B15A6A"/>
    <w:rsid w:val="00B46533"/>
    <w:rsid w:val="00B94D15"/>
    <w:rsid w:val="00BA7A48"/>
    <w:rsid w:val="00BB0DCA"/>
    <w:rsid w:val="00BD0028"/>
    <w:rsid w:val="00C05D79"/>
    <w:rsid w:val="00C24DC0"/>
    <w:rsid w:val="00D01852"/>
    <w:rsid w:val="00DA3AF2"/>
    <w:rsid w:val="00DD03C2"/>
    <w:rsid w:val="00DD0456"/>
    <w:rsid w:val="00DE1D4F"/>
    <w:rsid w:val="00E30001"/>
    <w:rsid w:val="00ED0F4C"/>
    <w:rsid w:val="00ED765D"/>
    <w:rsid w:val="00EE2243"/>
    <w:rsid w:val="00EE6138"/>
    <w:rsid w:val="00F3597E"/>
    <w:rsid w:val="00FC1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E8E3"/>
  <w15:chartTrackingRefBased/>
  <w15:docId w15:val="{F1066B00-91FA-4F9B-8BE4-08EF0C22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C50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24A6"/>
    <w:pPr>
      <w:ind w:left="720"/>
      <w:contextualSpacing/>
    </w:pPr>
  </w:style>
  <w:style w:type="character" w:styleId="Hyperlink">
    <w:name w:val="Hyperlink"/>
    <w:basedOn w:val="Standaardalinea-lettertype"/>
    <w:uiPriority w:val="99"/>
    <w:unhideWhenUsed/>
    <w:rsid w:val="008508E2"/>
    <w:rPr>
      <w:color w:val="0563C1" w:themeColor="hyperlink"/>
      <w:u w:val="single"/>
    </w:rPr>
  </w:style>
  <w:style w:type="paragraph" w:styleId="Titel">
    <w:name w:val="Title"/>
    <w:basedOn w:val="Standaard"/>
    <w:next w:val="Standaard"/>
    <w:link w:val="TitelChar"/>
    <w:uiPriority w:val="10"/>
    <w:qFormat/>
    <w:rsid w:val="000C5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C501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C5014"/>
    <w:rPr>
      <w:rFonts w:asciiTheme="majorHAnsi" w:eastAsiaTheme="majorEastAsia" w:hAnsiTheme="majorHAnsi" w:cstheme="majorBidi"/>
      <w:color w:val="2E74B5" w:themeColor="accent1" w:themeShade="BF"/>
      <w:sz w:val="32"/>
      <w:szCs w:val="32"/>
    </w:rPr>
  </w:style>
  <w:style w:type="paragraph" w:styleId="Voetnoottekst">
    <w:name w:val="footnote text"/>
    <w:basedOn w:val="Standaard"/>
    <w:link w:val="VoetnoottekstChar"/>
    <w:uiPriority w:val="99"/>
    <w:unhideWhenUsed/>
    <w:rsid w:val="004327F3"/>
    <w:pPr>
      <w:spacing w:after="0" w:line="240" w:lineRule="auto"/>
    </w:pPr>
    <w:rPr>
      <w:sz w:val="20"/>
      <w:szCs w:val="20"/>
    </w:rPr>
  </w:style>
  <w:style w:type="character" w:customStyle="1" w:styleId="VoetnoottekstChar">
    <w:name w:val="Voetnoottekst Char"/>
    <w:basedOn w:val="Standaardalinea-lettertype"/>
    <w:link w:val="Voetnoottekst"/>
    <w:uiPriority w:val="99"/>
    <w:rsid w:val="004327F3"/>
    <w:rPr>
      <w:sz w:val="20"/>
      <w:szCs w:val="20"/>
    </w:rPr>
  </w:style>
  <w:style w:type="character" w:styleId="Voetnootmarkering">
    <w:name w:val="footnote reference"/>
    <w:basedOn w:val="Standaardalinea-lettertype"/>
    <w:uiPriority w:val="99"/>
    <w:semiHidden/>
    <w:unhideWhenUsed/>
    <w:rsid w:val="004327F3"/>
    <w:rPr>
      <w:vertAlign w:val="superscript"/>
    </w:rPr>
  </w:style>
  <w:style w:type="paragraph" w:styleId="Geenafstand">
    <w:name w:val="No Spacing"/>
    <w:uiPriority w:val="1"/>
    <w:qFormat/>
    <w:rsid w:val="00A81A1E"/>
    <w:pPr>
      <w:spacing w:after="0" w:line="240" w:lineRule="auto"/>
    </w:pPr>
  </w:style>
  <w:style w:type="paragraph" w:styleId="Koptekst">
    <w:name w:val="header"/>
    <w:basedOn w:val="Standaard"/>
    <w:link w:val="KoptekstChar"/>
    <w:uiPriority w:val="99"/>
    <w:unhideWhenUsed/>
    <w:rsid w:val="00BB0D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B0DCA"/>
  </w:style>
  <w:style w:type="paragraph" w:styleId="Voettekst">
    <w:name w:val="footer"/>
    <w:basedOn w:val="Standaard"/>
    <w:link w:val="VoettekstChar"/>
    <w:uiPriority w:val="99"/>
    <w:unhideWhenUsed/>
    <w:rsid w:val="00BB0D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B0DCA"/>
  </w:style>
  <w:style w:type="table" w:styleId="Tabelraster">
    <w:name w:val="Table Grid"/>
    <w:basedOn w:val="Standaardtabel"/>
    <w:uiPriority w:val="39"/>
    <w:rsid w:val="0060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3F1F34"/>
    <w:rPr>
      <w:color w:val="954F72" w:themeColor="followedHyperlink"/>
      <w:u w:val="single"/>
    </w:rPr>
  </w:style>
  <w:style w:type="character" w:styleId="Verwijzingopmerking">
    <w:name w:val="annotation reference"/>
    <w:basedOn w:val="Standaardalinea-lettertype"/>
    <w:uiPriority w:val="99"/>
    <w:semiHidden/>
    <w:unhideWhenUsed/>
    <w:rsid w:val="003F1F34"/>
    <w:rPr>
      <w:sz w:val="16"/>
      <w:szCs w:val="16"/>
    </w:rPr>
  </w:style>
  <w:style w:type="paragraph" w:styleId="Tekstopmerking">
    <w:name w:val="annotation text"/>
    <w:basedOn w:val="Standaard"/>
    <w:link w:val="TekstopmerkingChar"/>
    <w:uiPriority w:val="99"/>
    <w:semiHidden/>
    <w:unhideWhenUsed/>
    <w:rsid w:val="003F1F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1F34"/>
    <w:rPr>
      <w:sz w:val="20"/>
      <w:szCs w:val="20"/>
    </w:rPr>
  </w:style>
  <w:style w:type="paragraph" w:styleId="Onderwerpvanopmerking">
    <w:name w:val="annotation subject"/>
    <w:basedOn w:val="Tekstopmerking"/>
    <w:next w:val="Tekstopmerking"/>
    <w:link w:val="OnderwerpvanopmerkingChar"/>
    <w:uiPriority w:val="99"/>
    <w:semiHidden/>
    <w:unhideWhenUsed/>
    <w:rsid w:val="003F1F34"/>
    <w:rPr>
      <w:b/>
      <w:bCs/>
    </w:rPr>
  </w:style>
  <w:style w:type="character" w:customStyle="1" w:styleId="OnderwerpvanopmerkingChar">
    <w:name w:val="Onderwerp van opmerking Char"/>
    <w:basedOn w:val="TekstopmerkingChar"/>
    <w:link w:val="Onderwerpvanopmerking"/>
    <w:uiPriority w:val="99"/>
    <w:semiHidden/>
    <w:rsid w:val="003F1F34"/>
    <w:rPr>
      <w:b/>
      <w:bCs/>
      <w:sz w:val="20"/>
      <w:szCs w:val="20"/>
    </w:rPr>
  </w:style>
  <w:style w:type="paragraph" w:styleId="Ballontekst">
    <w:name w:val="Balloon Text"/>
    <w:basedOn w:val="Standaard"/>
    <w:link w:val="BallontekstChar"/>
    <w:uiPriority w:val="99"/>
    <w:semiHidden/>
    <w:unhideWhenUsed/>
    <w:rsid w:val="003F1F3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deculturelediversiteit.com/de-co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s.nl/nl-nl/onze-diensten/methoden/begrippen/migratieachtergr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A802D-ECA2-4EA3-BC09-77C80AEB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2279</Words>
  <Characters>12537</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KNAW</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Antia Wiersma</dc:creator>
  <cp:keywords/>
  <dc:description/>
  <cp:lastModifiedBy>Antia Wiersma</cp:lastModifiedBy>
  <cp:revision>6</cp:revision>
  <dcterms:created xsi:type="dcterms:W3CDTF">2021-07-23T12:16:00Z</dcterms:created>
  <dcterms:modified xsi:type="dcterms:W3CDTF">2021-10-21T09:35:00Z</dcterms:modified>
</cp:coreProperties>
</file>